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0B6595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06-07 июня</w:t>
      </w:r>
      <w:r w:rsidR="003D4929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2018</w:t>
      </w:r>
      <w:r w:rsidR="00C204C7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года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8354B6" w:rsidRDefault="00D0383A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BE4216" w:rsidRPr="008C1898" w:rsidRDefault="0070565B" w:rsidP="00BE42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Линейные объекты и инженерные сети: проектирование, строительство, ввод в эксплуатацию</w:t>
      </w:r>
    </w:p>
    <w:p w:rsidR="008354B6" w:rsidRPr="008354B6" w:rsidRDefault="008354B6" w:rsidP="008354B6">
      <w:pPr>
        <w:rPr>
          <w:rFonts w:ascii="Arial" w:hAnsi="Arial" w:cs="Arial"/>
        </w:rPr>
      </w:pPr>
      <w:r w:rsidRPr="008354B6">
        <w:rPr>
          <w:rFonts w:ascii="Arial" w:hAnsi="Arial" w:cs="Arial"/>
          <w:b/>
          <w:bCs/>
          <w:color w:val="990033"/>
          <w:sz w:val="20"/>
          <w:szCs w:val="20"/>
        </w:rPr>
        <w:t> </w:t>
      </w:r>
    </w:p>
    <w:p w:rsidR="008354B6" w:rsidRPr="006F781B" w:rsidRDefault="008354B6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 w:rsidRPr="006F781B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2E6E47" w:rsidRPr="002E6E47" w:rsidRDefault="002E6E47" w:rsidP="006F781B">
      <w:pPr>
        <w:shd w:val="clear" w:color="auto" w:fill="CDFFCD"/>
        <w:spacing w:line="276" w:lineRule="auto"/>
        <w:rPr>
          <w:rFonts w:ascii="Arial" w:hAnsi="Arial" w:cs="Arial"/>
          <w:sz w:val="22"/>
          <w:szCs w:val="22"/>
          <w:shd w:val="clear" w:color="auto" w:fill="FCFFFC"/>
        </w:rPr>
      </w:pPr>
      <w:r w:rsidRPr="002E6E47">
        <w:rPr>
          <w:rFonts w:ascii="Arial" w:hAnsi="Arial" w:cs="Arial"/>
          <w:sz w:val="22"/>
          <w:szCs w:val="22"/>
          <w:shd w:val="clear" w:color="auto" w:fill="FCFFFC"/>
        </w:rPr>
        <w:t>На семинаре рассматриваются актуальные вопросы, связанные с</w:t>
      </w:r>
      <w:r w:rsidRPr="002E6E47">
        <w:rPr>
          <w:rStyle w:val="apple-converted-space"/>
          <w:rFonts w:ascii="Arial" w:hAnsi="Arial" w:cs="Arial"/>
          <w:sz w:val="22"/>
          <w:szCs w:val="22"/>
          <w:shd w:val="clear" w:color="auto" w:fill="FCFFFC"/>
        </w:rPr>
        <w:t> </w:t>
      </w:r>
      <w:r w:rsidRPr="002E6E47">
        <w:rPr>
          <w:rStyle w:val="t13"/>
          <w:rFonts w:ascii="Arial" w:hAnsi="Arial" w:cs="Arial"/>
          <w:b/>
          <w:bCs/>
          <w:sz w:val="22"/>
          <w:szCs w:val="22"/>
          <w:shd w:val="clear" w:color="auto" w:fill="FCFFFC"/>
        </w:rPr>
        <w:t>изменениями в Земельном кодексе и Постановлением Правительства РФ от 03.12.2014 № 1300, вступившими в силу 01 марта 2015 г</w:t>
      </w:r>
      <w:r w:rsidRPr="002E6E47">
        <w:rPr>
          <w:rFonts w:ascii="Arial" w:hAnsi="Arial" w:cs="Arial"/>
          <w:sz w:val="22"/>
          <w:szCs w:val="22"/>
          <w:shd w:val="clear" w:color="auto" w:fill="FCFFFC"/>
        </w:rPr>
        <w:t>., а также комментарии к положениям Градостроительного кодекса. Практические аспекты деятельности, рекомендации экспертов, судебно-арбитражная практика.</w:t>
      </w:r>
    </w:p>
    <w:p w:rsidR="008354B6" w:rsidRPr="006F781B" w:rsidRDefault="002E072B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На семинар приглашаются</w:t>
      </w:r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8354B6" w:rsidRDefault="008C1898" w:rsidP="00F4204A">
      <w:pPr>
        <w:rPr>
          <w:rFonts w:ascii="Arial" w:hAnsi="Arial" w:cs="Arial"/>
          <w:b/>
          <w:bCs/>
          <w:color w:val="800000"/>
          <w:sz w:val="22"/>
          <w:szCs w:val="22"/>
        </w:rPr>
      </w:pPr>
      <w:r w:rsidRPr="008C1898">
        <w:rPr>
          <w:rStyle w:val="eventfulldescription1"/>
          <w:rFonts w:ascii="Arial" w:hAnsi="Arial" w:cs="Arial"/>
          <w:sz w:val="22"/>
          <w:szCs w:val="22"/>
        </w:rPr>
        <w:t>Руководители и специалисты строительной отрасли и инвестиционных компаний, государственных и коммерческих организаций, являющихся собственниками, пользователями и распорядителями инженерных сетей, а также связанных с управлением имуществом, и все заинтересованные лица</w:t>
      </w:r>
      <w:r w:rsidR="008354B6" w:rsidRPr="008C1898">
        <w:rPr>
          <w:rFonts w:ascii="Arial" w:hAnsi="Arial" w:cs="Arial"/>
          <w:b/>
          <w:bCs/>
          <w:color w:val="800000"/>
          <w:sz w:val="22"/>
          <w:szCs w:val="22"/>
        </w:rPr>
        <w:t> </w:t>
      </w:r>
    </w:p>
    <w:p w:rsidR="008C1898" w:rsidRPr="008C1898" w:rsidRDefault="008C1898" w:rsidP="00F4204A">
      <w:pPr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82712C" w:rsidRPr="0082712C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7876D3">
        <w:rPr>
          <w:rFonts w:ascii="Arial" w:hAnsi="Arial" w:cs="Arial"/>
          <w:color w:val="000000"/>
          <w:sz w:val="22"/>
          <w:szCs w:val="20"/>
        </w:rPr>
        <w:t>ведения:</w:t>
      </w:r>
      <w:r w:rsidR="00476C26">
        <w:rPr>
          <w:rFonts w:ascii="Arial" w:hAnsi="Arial" w:cs="Arial"/>
          <w:color w:val="000000"/>
          <w:sz w:val="22"/>
          <w:szCs w:val="20"/>
        </w:rPr>
        <w:t xml:space="preserve"> Санкт-Петербург, ул. Смолячкова, д.5</w:t>
      </w:r>
    </w:p>
    <w:p w:rsidR="0082712C" w:rsidRPr="0082712C" w:rsidRDefault="00B31F7A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0B6595">
        <w:rPr>
          <w:rFonts w:ascii="Arial" w:hAnsi="Arial" w:cs="Arial"/>
          <w:color w:val="000000"/>
          <w:sz w:val="22"/>
          <w:szCs w:val="20"/>
        </w:rPr>
        <w:t>06 июня</w:t>
      </w:r>
      <w:bookmarkStart w:id="0" w:name="_GoBack"/>
      <w:bookmarkEnd w:id="0"/>
      <w:r w:rsidR="003D4929">
        <w:rPr>
          <w:rFonts w:ascii="Arial" w:hAnsi="Arial" w:cs="Arial"/>
          <w:color w:val="000000"/>
          <w:sz w:val="22"/>
          <w:szCs w:val="20"/>
        </w:rPr>
        <w:t xml:space="preserve"> 2018</w:t>
      </w:r>
      <w:r>
        <w:rPr>
          <w:rFonts w:ascii="Arial" w:hAnsi="Arial" w:cs="Arial"/>
          <w:color w:val="000000"/>
          <w:sz w:val="22"/>
          <w:szCs w:val="20"/>
        </w:rPr>
        <w:t xml:space="preserve"> года в </w:t>
      </w:r>
      <w:r w:rsidR="00476C26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FF5755" w:rsidRDefault="00FF5755" w:rsidP="008354B6">
      <w:pPr>
        <w:rPr>
          <w:rFonts w:ascii="Arial" w:hAnsi="Arial" w:cs="Arial"/>
        </w:rPr>
      </w:pP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4D7BCD">
      <w:pPr>
        <w:spacing w:line="276" w:lineRule="auto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1. Линейные объекты как объекты недвижимости. </w:t>
      </w:r>
      <w:r w:rsidRPr="002E6E47">
        <w:rPr>
          <w:rFonts w:ascii="Arial" w:hAnsi="Arial" w:cs="Arial"/>
          <w:color w:val="000000"/>
          <w:sz w:val="22"/>
          <w:szCs w:val="22"/>
        </w:rPr>
        <w:t>Виды линейных объектов. Последние изменения в Земельном и Градостроительном кодексе. </w:t>
      </w: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Инженерные сети как объект имущества. </w:t>
      </w:r>
      <w:r w:rsidRPr="002E6E47">
        <w:rPr>
          <w:rFonts w:ascii="Arial" w:hAnsi="Arial" w:cs="Arial"/>
          <w:color w:val="000000"/>
          <w:sz w:val="22"/>
          <w:szCs w:val="22"/>
        </w:rPr>
        <w:t>Нормативно-правовые вопросы владения и распоряжения инженерными сетями. Порядок и правила формирования объекта недвижимости «Инженерные сети». Вопросы отнесения инженерных сетей к движимому и недвижимому имуществу. Основания отнесения объекта к недвижимому имуществу.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2. Новый порядок предоставления земельных участков для размещения линейных объектов, применяемый с 01 марта 2015 г. </w:t>
      </w:r>
      <w:r w:rsidRPr="002E6E47">
        <w:rPr>
          <w:rFonts w:ascii="Arial" w:hAnsi="Arial" w:cs="Arial"/>
          <w:color w:val="000000"/>
          <w:sz w:val="22"/>
          <w:szCs w:val="22"/>
        </w:rPr>
        <w:t>Полномочия органов власти и местного самоуправления по предоставлению земельных участков для строительства, реконструкции и эксплуатации линейных объектов. Порядок предоставления земельного участка для строительства сетевых инженерных инфраструктур.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3. Подготовка и состав проектной документации на строительство, реконструкцию и капитальный ремонт линейных объектов и инженерных сетей. </w:t>
      </w:r>
      <w:r w:rsidRPr="002E6E47">
        <w:rPr>
          <w:rFonts w:ascii="Arial" w:hAnsi="Arial" w:cs="Arial"/>
          <w:color w:val="000000"/>
          <w:sz w:val="22"/>
          <w:szCs w:val="22"/>
        </w:rPr>
        <w:t>Порядок согласования проектной документации в соответствии с изменениями в законодательстве РФ. Новая система нормативных документов в проектировании и строительстве объектов инженерной инфраструктуры и линейных объектов.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4. Оформление прав на земельные участки под строительство линейных объектов и сетевых инженерных инфраструктур. </w:t>
      </w:r>
      <w:r w:rsidRPr="002E6E47">
        <w:rPr>
          <w:rFonts w:ascii="Arial" w:hAnsi="Arial" w:cs="Arial"/>
          <w:color w:val="000000"/>
          <w:sz w:val="22"/>
          <w:szCs w:val="22"/>
        </w:rPr>
        <w:t>Оформление прав на земельные участки под существующими линейными объектами: вопросы согласования с владельцами территорий. Оформление земельных отношений при пересечениях линейных объектов, размещение разных линейных объектов на одном земельном участке или в охранных зонах линейных объектов. </w:t>
      </w: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Государственная регистрация прав на линейные объекты, оформление прав владения, пользования и распоряжения инженерными сетями и коммуникациями. </w:t>
      </w:r>
      <w:r w:rsidRPr="002E6E47">
        <w:rPr>
          <w:rFonts w:ascii="Arial" w:hAnsi="Arial" w:cs="Arial"/>
          <w:color w:val="000000"/>
          <w:sz w:val="22"/>
          <w:szCs w:val="22"/>
        </w:rPr>
        <w:t>Определение границ земельного участка, необходимого для обслуживания инженерных сетей.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5. Порядок оформления охранных и санитарно-защитных зон линейных объектов. </w:t>
      </w:r>
      <w:r w:rsidRPr="002E6E47">
        <w:rPr>
          <w:rFonts w:ascii="Arial" w:hAnsi="Arial" w:cs="Arial"/>
          <w:color w:val="000000"/>
          <w:sz w:val="22"/>
          <w:szCs w:val="22"/>
        </w:rPr>
        <w:t>Установление охранных зон объектов электросетевого хозяйства.</w:t>
      </w: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2E6E47">
        <w:rPr>
          <w:rFonts w:ascii="Arial" w:hAnsi="Arial" w:cs="Arial"/>
          <w:color w:val="000000"/>
          <w:sz w:val="22"/>
          <w:szCs w:val="22"/>
        </w:rPr>
        <w:t>Постановление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6. Постановка земельных участков на государственный кадастровый учет для строительства, реконструкции и эксплуатации линейных объектов, объектов инженерной инфраструктуры.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7. Разработка проекта планировки территории и проекта межевания территории для линейных объектов, изменения Земельного Кодекса с 01.03.2015 г.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8. Оформление сделок, связанных с арендой, куплей-продажей, приватизацией инженерных сетей. </w:t>
      </w:r>
      <w:r w:rsidRPr="002E6E47">
        <w:rPr>
          <w:rFonts w:ascii="Arial" w:hAnsi="Arial" w:cs="Arial"/>
          <w:color w:val="000000"/>
          <w:sz w:val="22"/>
          <w:szCs w:val="22"/>
        </w:rPr>
        <w:t xml:space="preserve">Оформление прав на объекты инфраструктуры в составе имущественных комплексов. Разновидности договорных отношений, заключаемых владельцами инженерных сетей: купля-продажа, подряд, </w:t>
      </w:r>
      <w:proofErr w:type="spellStart"/>
      <w:r w:rsidRPr="002E6E47">
        <w:rPr>
          <w:rFonts w:ascii="Arial" w:hAnsi="Arial" w:cs="Arial"/>
          <w:color w:val="000000"/>
          <w:sz w:val="22"/>
          <w:szCs w:val="22"/>
        </w:rPr>
        <w:t>сервитутное</w:t>
      </w:r>
      <w:proofErr w:type="spellEnd"/>
      <w:r w:rsidRPr="002E6E47">
        <w:rPr>
          <w:rFonts w:ascii="Arial" w:hAnsi="Arial" w:cs="Arial"/>
          <w:color w:val="000000"/>
          <w:sz w:val="22"/>
          <w:szCs w:val="22"/>
        </w:rPr>
        <w:t xml:space="preserve"> соглашение.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9. Землепользование земельными участками в период эксплуатации линейных объектов и инженерных сетей. </w:t>
      </w:r>
      <w:r w:rsidRPr="002E6E47">
        <w:rPr>
          <w:rFonts w:ascii="Arial" w:hAnsi="Arial" w:cs="Arial"/>
          <w:color w:val="000000"/>
          <w:sz w:val="22"/>
          <w:szCs w:val="22"/>
        </w:rPr>
        <w:t>Установление арендных отношений с владельцами земельных участков, порядок определения права за сервитут и порядок заключения сервитутного  соглашения и т.п.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 xml:space="preserve">10. Вопросы взаимодействия строительных и </w:t>
      </w:r>
      <w:proofErr w:type="spellStart"/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ресурсоснабжающих</w:t>
      </w:r>
      <w:proofErr w:type="spellEnd"/>
      <w:r w:rsidRPr="002E6E47">
        <w:rPr>
          <w:rFonts w:ascii="Arial" w:hAnsi="Arial" w:cs="Arial"/>
          <w:b/>
          <w:bCs/>
          <w:color w:val="000000"/>
          <w:sz w:val="22"/>
          <w:szCs w:val="22"/>
        </w:rPr>
        <w:t xml:space="preserve"> организаций. </w:t>
      </w:r>
      <w:r w:rsidRPr="002E6E47">
        <w:rPr>
          <w:rFonts w:ascii="Arial" w:hAnsi="Arial" w:cs="Arial"/>
          <w:color w:val="000000"/>
          <w:sz w:val="22"/>
          <w:szCs w:val="22"/>
        </w:rPr>
        <w:t xml:space="preserve">Порядок заключения договоров с </w:t>
      </w:r>
      <w:proofErr w:type="spellStart"/>
      <w:r w:rsidRPr="002E6E47">
        <w:rPr>
          <w:rFonts w:ascii="Arial" w:hAnsi="Arial" w:cs="Arial"/>
          <w:color w:val="000000"/>
          <w:sz w:val="22"/>
          <w:szCs w:val="22"/>
        </w:rPr>
        <w:t>ресурсоснабжающими</w:t>
      </w:r>
      <w:proofErr w:type="spellEnd"/>
      <w:r w:rsidRPr="002E6E47">
        <w:rPr>
          <w:rFonts w:ascii="Arial" w:hAnsi="Arial" w:cs="Arial"/>
          <w:color w:val="000000"/>
          <w:sz w:val="22"/>
          <w:szCs w:val="22"/>
        </w:rPr>
        <w:t xml:space="preserve"> организациями. Особенности взаимосвязи договоров энергоснабжения и вещных прав на инженерные сети. Передача наружных сетей на баланс специализированным </w:t>
      </w:r>
      <w:proofErr w:type="spellStart"/>
      <w:r w:rsidRPr="002E6E47">
        <w:rPr>
          <w:rFonts w:ascii="Arial" w:hAnsi="Arial" w:cs="Arial"/>
          <w:color w:val="000000"/>
          <w:sz w:val="22"/>
          <w:szCs w:val="22"/>
        </w:rPr>
        <w:t>энергоснабжающим</w:t>
      </w:r>
      <w:proofErr w:type="spellEnd"/>
      <w:r w:rsidRPr="002E6E47">
        <w:rPr>
          <w:rFonts w:ascii="Arial" w:hAnsi="Arial" w:cs="Arial"/>
          <w:color w:val="000000"/>
          <w:sz w:val="22"/>
          <w:szCs w:val="22"/>
        </w:rPr>
        <w:t xml:space="preserve"> организациям. Особенности технологического присоединения электроустановок. Порядок допуска в эксплуатацию новых и реконструированных энергоустановок органами Ростехнадзора.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11. Особенности землепользования объектов ЛЭП.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12. Обзор судебной практики по вопросам </w:t>
      </w:r>
      <w:r w:rsidRPr="002E6E47">
        <w:rPr>
          <w:rFonts w:ascii="Arial" w:hAnsi="Arial" w:cs="Arial"/>
          <w:color w:val="000000"/>
          <w:sz w:val="22"/>
          <w:szCs w:val="22"/>
        </w:rPr>
        <w:t>проектирования, строительства и ввода в эксплуатацию систем водоснабжения и водоотведения, газоснабжения и газораспределения.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13. Новая форма технического плана</w:t>
      </w:r>
      <w:r w:rsidRPr="002E6E47">
        <w:rPr>
          <w:rFonts w:ascii="Arial" w:hAnsi="Arial" w:cs="Arial"/>
          <w:color w:val="000000"/>
          <w:sz w:val="22"/>
          <w:szCs w:val="22"/>
        </w:rPr>
        <w:t> </w:t>
      </w: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линейного сооружения</w:t>
      </w:r>
      <w:r w:rsidRPr="002E6E47">
        <w:rPr>
          <w:rFonts w:ascii="Arial" w:hAnsi="Arial" w:cs="Arial"/>
          <w:color w:val="000000"/>
          <w:sz w:val="22"/>
          <w:szCs w:val="22"/>
        </w:rPr>
        <w:t>, в соответствии с</w:t>
      </w: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2E6E47">
        <w:rPr>
          <w:rFonts w:ascii="Arial" w:hAnsi="Arial" w:cs="Arial"/>
          <w:color w:val="000000"/>
          <w:sz w:val="22"/>
          <w:szCs w:val="22"/>
        </w:rPr>
        <w:t>Приказом Минэкономразвития России №693 «Об утверждении формы технического плана сооружения и требований к его подготовке» с 30 июня 2014 года.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color w:val="000000"/>
          <w:sz w:val="22"/>
          <w:szCs w:val="22"/>
        </w:rPr>
        <w:t> </w:t>
      </w:r>
    </w:p>
    <w:p w:rsidR="002E6E47" w:rsidRPr="002E6E47" w:rsidRDefault="002E6E47" w:rsidP="002E6E47">
      <w:pPr>
        <w:shd w:val="clear" w:color="auto" w:fill="FCFFFC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2E6E47">
        <w:rPr>
          <w:rFonts w:ascii="Arial" w:hAnsi="Arial" w:cs="Arial"/>
          <w:b/>
          <w:bCs/>
          <w:color w:val="000000"/>
          <w:sz w:val="22"/>
          <w:szCs w:val="22"/>
        </w:rPr>
        <w:t>14. Ввод в эксплуатацию линейных объектов капитального строительства.</w:t>
      </w:r>
    </w:p>
    <w:p w:rsidR="00117E3E" w:rsidRDefault="00117E3E" w:rsidP="00117E3E">
      <w:pPr>
        <w:rPr>
          <w:rFonts w:ascii="Verdana" w:hAnsi="Verdana"/>
        </w:rPr>
      </w:pPr>
    </w:p>
    <w:p w:rsidR="00117E3E" w:rsidRPr="00117E3E" w:rsidRDefault="00117E3E" w:rsidP="00117E3E">
      <w:pPr>
        <w:spacing w:line="272" w:lineRule="atLeast"/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2E072B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  <w:highlight w:val="lightGray"/>
        </w:rPr>
        <w:t>Условия участия в семинаре:</w:t>
      </w:r>
    </w:p>
    <w:p w:rsidR="00B31F7A" w:rsidRDefault="00117E3E" w:rsidP="00852B52">
      <w:pPr>
        <w:spacing w:line="299" w:lineRule="atLeast"/>
        <w:rPr>
          <w:rFonts w:ascii="Arial" w:hAnsi="Arial" w:cs="Arial"/>
          <w:color w:val="000000"/>
          <w:sz w:val="22"/>
          <w:szCs w:val="22"/>
        </w:rPr>
      </w:pPr>
      <w:r w:rsidRPr="00117E3E">
        <w:rPr>
          <w:rFonts w:ascii="Arial" w:hAnsi="Arial" w:cs="Arial"/>
          <w:color w:val="000000"/>
          <w:sz w:val="22"/>
          <w:szCs w:val="22"/>
        </w:rPr>
        <w:t>Стоимость участия в сем</w:t>
      </w:r>
      <w:r>
        <w:rPr>
          <w:rFonts w:ascii="Arial" w:hAnsi="Arial" w:cs="Arial"/>
          <w:color w:val="000000"/>
          <w:sz w:val="22"/>
          <w:szCs w:val="22"/>
        </w:rPr>
        <w:t xml:space="preserve">инаре составляет </w:t>
      </w:r>
      <w:r w:rsidR="00476C26">
        <w:rPr>
          <w:rFonts w:ascii="Arial" w:hAnsi="Arial" w:cs="Arial"/>
          <w:b/>
          <w:color w:val="000000"/>
          <w:sz w:val="22"/>
          <w:szCs w:val="22"/>
        </w:rPr>
        <w:t>21</w:t>
      </w:r>
      <w:r w:rsidRPr="00330EC2">
        <w:rPr>
          <w:rFonts w:ascii="Arial" w:hAnsi="Arial" w:cs="Arial"/>
          <w:b/>
          <w:color w:val="000000"/>
          <w:sz w:val="22"/>
          <w:szCs w:val="22"/>
        </w:rPr>
        <w:t xml:space="preserve"> 0</w:t>
      </w:r>
      <w:r w:rsidRPr="00117E3E">
        <w:rPr>
          <w:rFonts w:ascii="Arial" w:hAnsi="Arial" w:cs="Arial"/>
          <w:b/>
          <w:color w:val="000000"/>
          <w:sz w:val="22"/>
          <w:szCs w:val="22"/>
        </w:rPr>
        <w:t>00 руб</w:t>
      </w:r>
      <w:r w:rsidRPr="00117E3E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117E3E">
        <w:rPr>
          <w:rFonts w:ascii="Arial" w:hAnsi="Arial" w:cs="Arial"/>
          <w:color w:val="000000"/>
          <w:sz w:val="22"/>
          <w:szCs w:val="22"/>
        </w:rPr>
        <w:br/>
      </w:r>
      <w:r w:rsidRPr="00117E3E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117E3E">
        <w:rPr>
          <w:rFonts w:ascii="Arial" w:hAnsi="Arial" w:cs="Arial"/>
          <w:color w:val="000000"/>
          <w:sz w:val="22"/>
        </w:rPr>
        <w:t> </w:t>
      </w:r>
      <w:r w:rsidRPr="00117E3E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мероприятия</w:t>
      </w:r>
      <w:r w:rsidRPr="00117E3E">
        <w:rPr>
          <w:rFonts w:ascii="Arial" w:hAnsi="Arial" w:cs="Arial"/>
          <w:color w:val="000000"/>
          <w:sz w:val="22"/>
          <w:szCs w:val="22"/>
        </w:rPr>
        <w:t>.</w:t>
      </w:r>
      <w:r w:rsidRPr="00117E3E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852B52" w:rsidRDefault="00117E3E" w:rsidP="00852B52">
      <w:pPr>
        <w:spacing w:line="299" w:lineRule="atLeast"/>
        <w:rPr>
          <w:rFonts w:ascii="Arial" w:hAnsi="Arial" w:cs="Arial"/>
          <w:color w:val="000000"/>
          <w:sz w:val="22"/>
          <w:szCs w:val="22"/>
        </w:rPr>
      </w:pPr>
      <w:r w:rsidRPr="00117E3E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Pr="00117E3E">
        <w:rPr>
          <w:rFonts w:ascii="Arial" w:hAnsi="Arial" w:cs="Arial"/>
          <w:color w:val="000000"/>
          <w:sz w:val="22"/>
        </w:rPr>
        <w:t> </w:t>
      </w:r>
      <w:r w:rsidR="0067364E">
        <w:rPr>
          <w:rFonts w:ascii="Arial" w:hAnsi="Arial" w:cs="Arial"/>
          <w:color w:val="000000"/>
          <w:sz w:val="22"/>
        </w:rPr>
        <w:t xml:space="preserve">фирменное </w:t>
      </w:r>
      <w:r w:rsidRPr="00117E3E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117E3E">
        <w:rPr>
          <w:rFonts w:ascii="Arial" w:hAnsi="Arial" w:cs="Arial"/>
          <w:color w:val="000000"/>
          <w:sz w:val="22"/>
        </w:rPr>
        <w:t> </w:t>
      </w:r>
      <w:r w:rsidR="0067364E">
        <w:rPr>
          <w:rFonts w:ascii="Arial" w:hAnsi="Arial" w:cs="Arial"/>
          <w:color w:val="000000"/>
          <w:sz w:val="22"/>
        </w:rPr>
        <w:t>компании «Мир семинаров»</w:t>
      </w:r>
      <w:r w:rsidRPr="00117E3E">
        <w:rPr>
          <w:rFonts w:ascii="Arial" w:hAnsi="Arial" w:cs="Arial"/>
          <w:color w:val="000000"/>
          <w:sz w:val="22"/>
          <w:szCs w:val="22"/>
        </w:rPr>
        <w:t>.</w:t>
      </w:r>
      <w:r w:rsidRPr="00117E3E">
        <w:rPr>
          <w:rFonts w:ascii="Arial" w:hAnsi="Arial" w:cs="Arial"/>
          <w:color w:val="000000"/>
          <w:sz w:val="22"/>
          <w:szCs w:val="22"/>
        </w:rPr>
        <w:br/>
      </w:r>
      <w:r w:rsidR="0067364E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117E3E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67364E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117E3E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852B52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BC" w:rsidRDefault="005078BC" w:rsidP="00154D2E">
      <w:r>
        <w:separator/>
      </w:r>
    </w:p>
  </w:endnote>
  <w:endnote w:type="continuationSeparator" w:id="0">
    <w:p w:rsidR="005078BC" w:rsidRDefault="005078BC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E4" w:rsidRPr="008354B6" w:rsidRDefault="005078BC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3.3pt;margin-top:.25pt;width:441.1pt;height:0;z-index:251659264" o:connectortype="straight" strokecolor="black [3200]" strokeweight="1pt">
          <v:shadow color="#868686"/>
        </v:shape>
      </w:pict>
    </w:r>
    <w:r w:rsidR="00A301E4" w:rsidRPr="008354B6">
      <w:rPr>
        <w:rFonts w:ascii="Arial" w:hAnsi="Arial" w:cs="Arial"/>
        <w:sz w:val="22"/>
      </w:rPr>
      <w:t>193079, г. Санкт-Петербург, Дальневосточны</w:t>
    </w:r>
    <w:r w:rsidR="00ED59ED" w:rsidRPr="008354B6">
      <w:rPr>
        <w:rFonts w:ascii="Arial" w:hAnsi="Arial" w:cs="Arial"/>
        <w:sz w:val="22"/>
      </w:rPr>
      <w:t>й проспек</w:t>
    </w:r>
    <w:r w:rsidR="00A301E4" w:rsidRPr="008354B6">
      <w:rPr>
        <w:rFonts w:ascii="Arial" w:hAnsi="Arial" w:cs="Arial"/>
        <w:sz w:val="22"/>
      </w:rPr>
      <w:t>т, 71 литер</w:t>
    </w:r>
    <w:proofErr w:type="gramStart"/>
    <w:r w:rsidR="00A301E4" w:rsidRPr="008354B6">
      <w:rPr>
        <w:rFonts w:ascii="Arial" w:hAnsi="Arial" w:cs="Arial"/>
        <w:sz w:val="22"/>
      </w:rPr>
      <w:t xml:space="preserve"> А</w:t>
    </w:r>
    <w:proofErr w:type="gramEnd"/>
    <w:r w:rsidR="00A301E4" w:rsidRPr="008354B6">
      <w:rPr>
        <w:rFonts w:ascii="Arial" w:hAnsi="Arial" w:cs="Arial"/>
        <w:sz w:val="22"/>
      </w:rPr>
      <w:t>, помещение 11-Н</w:t>
    </w:r>
  </w:p>
  <w:p w:rsidR="00801E7A" w:rsidRPr="002E072B" w:rsidRDefault="00F74D03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hyperlink r:id="rId1" w:history="1">
      <w:r w:rsidR="00A301E4" w:rsidRPr="008354B6">
        <w:rPr>
          <w:rStyle w:val="a9"/>
          <w:rFonts w:ascii="Arial" w:hAnsi="Arial" w:cs="Arial"/>
          <w:color w:val="auto"/>
          <w:sz w:val="22"/>
          <w:u w:val="none"/>
          <w:lang w:val="en-US"/>
        </w:rPr>
        <w:t>mail@mirseminarov.com</w:t>
      </w:r>
    </w:hyperlink>
    <w:r w:rsidR="00A301E4" w:rsidRPr="008354B6">
      <w:rPr>
        <w:rFonts w:ascii="Arial" w:hAnsi="Arial" w:cs="Arial"/>
        <w:sz w:val="22"/>
        <w:lang w:val="en-US"/>
      </w:rPr>
      <w:t xml:space="preserve">         </w:t>
    </w:r>
    <w:r w:rsidR="00ED59ED" w:rsidRPr="008354B6">
      <w:rPr>
        <w:rFonts w:ascii="Arial" w:hAnsi="Arial" w:cs="Arial"/>
        <w:sz w:val="22"/>
        <w:lang w:val="en-US"/>
      </w:rPr>
      <w:t xml:space="preserve">   </w:t>
    </w:r>
    <w:r w:rsidR="00A301E4" w:rsidRPr="008354B6">
      <w:rPr>
        <w:rFonts w:ascii="Arial" w:hAnsi="Arial" w:cs="Arial"/>
        <w:sz w:val="22"/>
        <w:lang w:val="en-US"/>
      </w:rPr>
      <w:t xml:space="preserve">          mirseminarov.com       </w:t>
    </w:r>
    <w:r w:rsidR="00ED59ED" w:rsidRPr="008354B6">
      <w:rPr>
        <w:rFonts w:ascii="Arial" w:hAnsi="Arial" w:cs="Arial"/>
        <w:sz w:val="22"/>
        <w:lang w:val="en-US"/>
      </w:rPr>
      <w:t xml:space="preserve">       </w:t>
    </w:r>
    <w:r w:rsidR="00A301E4" w:rsidRPr="008354B6">
      <w:rPr>
        <w:rFonts w:ascii="Arial" w:hAnsi="Arial" w:cs="Arial"/>
        <w:sz w:val="22"/>
        <w:lang w:val="en-US"/>
      </w:rPr>
      <w:t xml:space="preserve">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BC" w:rsidRDefault="005078BC" w:rsidP="00154D2E">
      <w:r>
        <w:separator/>
      </w:r>
    </w:p>
  </w:footnote>
  <w:footnote w:type="continuationSeparator" w:id="0">
    <w:p w:rsidR="005078BC" w:rsidRDefault="005078BC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E4" w:rsidRPr="00ED59ED" w:rsidRDefault="00801E7A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7"/>
  </w:num>
  <w:num w:numId="5">
    <w:abstractNumId w:val="10"/>
  </w:num>
  <w:num w:numId="6">
    <w:abstractNumId w:val="22"/>
  </w:num>
  <w:num w:numId="7">
    <w:abstractNumId w:val="33"/>
  </w:num>
  <w:num w:numId="8">
    <w:abstractNumId w:val="25"/>
  </w:num>
  <w:num w:numId="9">
    <w:abstractNumId w:val="31"/>
  </w:num>
  <w:num w:numId="10">
    <w:abstractNumId w:val="11"/>
  </w:num>
  <w:num w:numId="11">
    <w:abstractNumId w:val="4"/>
  </w:num>
  <w:num w:numId="12">
    <w:abstractNumId w:val="16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9"/>
  </w:num>
  <w:num w:numId="18">
    <w:abstractNumId w:val="13"/>
  </w:num>
  <w:num w:numId="19">
    <w:abstractNumId w:val="27"/>
  </w:num>
  <w:num w:numId="20">
    <w:abstractNumId w:val="3"/>
  </w:num>
  <w:num w:numId="21">
    <w:abstractNumId w:val="1"/>
  </w:num>
  <w:num w:numId="22">
    <w:abstractNumId w:val="8"/>
  </w:num>
  <w:num w:numId="23">
    <w:abstractNumId w:val="30"/>
  </w:num>
  <w:num w:numId="24">
    <w:abstractNumId w:val="28"/>
  </w:num>
  <w:num w:numId="25">
    <w:abstractNumId w:val="9"/>
  </w:num>
  <w:num w:numId="26">
    <w:abstractNumId w:val="5"/>
  </w:num>
  <w:num w:numId="27">
    <w:abstractNumId w:val="23"/>
  </w:num>
  <w:num w:numId="28">
    <w:abstractNumId w:val="32"/>
  </w:num>
  <w:num w:numId="29">
    <w:abstractNumId w:val="15"/>
  </w:num>
  <w:num w:numId="30">
    <w:abstractNumId w:val="0"/>
  </w:num>
  <w:num w:numId="31">
    <w:abstractNumId w:val="17"/>
  </w:num>
  <w:num w:numId="32">
    <w:abstractNumId w:val="6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D2E"/>
    <w:rsid w:val="00007395"/>
    <w:rsid w:val="00027A31"/>
    <w:rsid w:val="00055E82"/>
    <w:rsid w:val="0008652D"/>
    <w:rsid w:val="00097867"/>
    <w:rsid w:val="000B6595"/>
    <w:rsid w:val="000D75FD"/>
    <w:rsid w:val="00112934"/>
    <w:rsid w:val="00117E3E"/>
    <w:rsid w:val="00120500"/>
    <w:rsid w:val="001209A6"/>
    <w:rsid w:val="001310A4"/>
    <w:rsid w:val="0013737D"/>
    <w:rsid w:val="00154D2E"/>
    <w:rsid w:val="001A535A"/>
    <w:rsid w:val="001C47A3"/>
    <w:rsid w:val="001E6775"/>
    <w:rsid w:val="002146F9"/>
    <w:rsid w:val="00225409"/>
    <w:rsid w:val="002814E9"/>
    <w:rsid w:val="00284690"/>
    <w:rsid w:val="002C0D59"/>
    <w:rsid w:val="002E072B"/>
    <w:rsid w:val="002E6E47"/>
    <w:rsid w:val="00330EC2"/>
    <w:rsid w:val="003835A9"/>
    <w:rsid w:val="00385471"/>
    <w:rsid w:val="003B404A"/>
    <w:rsid w:val="003B689A"/>
    <w:rsid w:val="003C0C80"/>
    <w:rsid w:val="003D4929"/>
    <w:rsid w:val="00417B6F"/>
    <w:rsid w:val="004206EF"/>
    <w:rsid w:val="00432F4C"/>
    <w:rsid w:val="00476C26"/>
    <w:rsid w:val="004C0EB4"/>
    <w:rsid w:val="004C15D5"/>
    <w:rsid w:val="004D7BCD"/>
    <w:rsid w:val="004E5483"/>
    <w:rsid w:val="005078BC"/>
    <w:rsid w:val="005349CA"/>
    <w:rsid w:val="00552D54"/>
    <w:rsid w:val="005C0CDE"/>
    <w:rsid w:val="005E1288"/>
    <w:rsid w:val="005E3E42"/>
    <w:rsid w:val="005E773F"/>
    <w:rsid w:val="006040C4"/>
    <w:rsid w:val="00606F87"/>
    <w:rsid w:val="00606FA0"/>
    <w:rsid w:val="0063774B"/>
    <w:rsid w:val="0064363E"/>
    <w:rsid w:val="00663C33"/>
    <w:rsid w:val="0067364E"/>
    <w:rsid w:val="0067395D"/>
    <w:rsid w:val="006F050E"/>
    <w:rsid w:val="006F781B"/>
    <w:rsid w:val="00702FC3"/>
    <w:rsid w:val="0070565B"/>
    <w:rsid w:val="007417A3"/>
    <w:rsid w:val="007641CB"/>
    <w:rsid w:val="00773404"/>
    <w:rsid w:val="00775DBC"/>
    <w:rsid w:val="00777B1C"/>
    <w:rsid w:val="007876D3"/>
    <w:rsid w:val="007E2BF6"/>
    <w:rsid w:val="00801E7A"/>
    <w:rsid w:val="0082712C"/>
    <w:rsid w:val="008279E0"/>
    <w:rsid w:val="008354B6"/>
    <w:rsid w:val="00850FBC"/>
    <w:rsid w:val="00852B52"/>
    <w:rsid w:val="008660FF"/>
    <w:rsid w:val="00877FED"/>
    <w:rsid w:val="008C1898"/>
    <w:rsid w:val="008D203A"/>
    <w:rsid w:val="008E4BA6"/>
    <w:rsid w:val="00960AAD"/>
    <w:rsid w:val="00965F80"/>
    <w:rsid w:val="009901EF"/>
    <w:rsid w:val="009B471A"/>
    <w:rsid w:val="009D287A"/>
    <w:rsid w:val="00A16875"/>
    <w:rsid w:val="00A301E4"/>
    <w:rsid w:val="00A367F4"/>
    <w:rsid w:val="00A37F2D"/>
    <w:rsid w:val="00AA2501"/>
    <w:rsid w:val="00AC3693"/>
    <w:rsid w:val="00AD22EF"/>
    <w:rsid w:val="00B23A6F"/>
    <w:rsid w:val="00B31F7A"/>
    <w:rsid w:val="00B42868"/>
    <w:rsid w:val="00B54392"/>
    <w:rsid w:val="00B60567"/>
    <w:rsid w:val="00B85606"/>
    <w:rsid w:val="00B9280A"/>
    <w:rsid w:val="00BA52C0"/>
    <w:rsid w:val="00BC1AE7"/>
    <w:rsid w:val="00BD0844"/>
    <w:rsid w:val="00BE4216"/>
    <w:rsid w:val="00C204C7"/>
    <w:rsid w:val="00C27FF0"/>
    <w:rsid w:val="00C32D44"/>
    <w:rsid w:val="00C646C2"/>
    <w:rsid w:val="00D0383A"/>
    <w:rsid w:val="00D4227E"/>
    <w:rsid w:val="00DD752B"/>
    <w:rsid w:val="00DF626C"/>
    <w:rsid w:val="00E33243"/>
    <w:rsid w:val="00E80DD9"/>
    <w:rsid w:val="00EA5E1C"/>
    <w:rsid w:val="00EB7205"/>
    <w:rsid w:val="00EC7B66"/>
    <w:rsid w:val="00ED59ED"/>
    <w:rsid w:val="00F12CCB"/>
    <w:rsid w:val="00F15FD1"/>
    <w:rsid w:val="00F210A4"/>
    <w:rsid w:val="00F27518"/>
    <w:rsid w:val="00F27FDD"/>
    <w:rsid w:val="00F4204A"/>
    <w:rsid w:val="00F74D03"/>
    <w:rsid w:val="00F755F8"/>
    <w:rsid w:val="00FD2FC0"/>
    <w:rsid w:val="00FD57B4"/>
    <w:rsid w:val="00FD7BEA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paragraph" w:customStyle="1" w:styleId="p3">
    <w:name w:val="p3"/>
    <w:basedOn w:val="a"/>
    <w:rsid w:val="003835A9"/>
    <w:pPr>
      <w:spacing w:before="100" w:beforeAutospacing="1" w:after="100" w:afterAutospacing="1"/>
    </w:pPr>
  </w:style>
  <w:style w:type="character" w:customStyle="1" w:styleId="t15">
    <w:name w:val="t15"/>
    <w:basedOn w:val="a0"/>
    <w:rsid w:val="003835A9"/>
  </w:style>
  <w:style w:type="character" w:customStyle="1" w:styleId="t5">
    <w:name w:val="t5"/>
    <w:basedOn w:val="a0"/>
    <w:rsid w:val="003835A9"/>
  </w:style>
  <w:style w:type="character" w:customStyle="1" w:styleId="t13">
    <w:name w:val="t13"/>
    <w:basedOn w:val="a0"/>
    <w:rsid w:val="002E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irseminaro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FFB4-CE75-4182-AA46-84E3D2CC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Q</cp:lastModifiedBy>
  <cp:revision>29</cp:revision>
  <dcterms:created xsi:type="dcterms:W3CDTF">2015-08-23T18:00:00Z</dcterms:created>
  <dcterms:modified xsi:type="dcterms:W3CDTF">2018-04-10T09:24:00Z</dcterms:modified>
</cp:coreProperties>
</file>