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DB7685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13-14 июня</w:t>
      </w:r>
      <w:r w:rsidR="00E171E4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2018</w:t>
      </w:r>
      <w:r w:rsidR="00A413A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352EAC" w:rsidRDefault="00D0383A" w:rsidP="00352EAC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352EAC" w:rsidRPr="00352EAC" w:rsidRDefault="00352EAC" w:rsidP="00352EAC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352EAC">
        <w:rPr>
          <w:rFonts w:ascii="Arial" w:hAnsi="Arial" w:cs="Arial"/>
          <w:sz w:val="32"/>
          <w:szCs w:val="32"/>
        </w:rPr>
        <w:t>БАНКРОТСТВО: ИЗМЕНЕНИЯ ЗАКОНОДАТЕЛЬСТВА</w:t>
      </w:r>
      <w:r w:rsidR="00E171E4">
        <w:rPr>
          <w:rFonts w:ascii="Arial" w:hAnsi="Arial" w:cs="Arial"/>
          <w:sz w:val="32"/>
          <w:szCs w:val="32"/>
        </w:rPr>
        <w:t xml:space="preserve"> 2018</w:t>
      </w:r>
      <w:r w:rsidRPr="00352EAC">
        <w:rPr>
          <w:rFonts w:ascii="Arial" w:hAnsi="Arial" w:cs="Arial"/>
          <w:sz w:val="32"/>
          <w:szCs w:val="32"/>
        </w:rPr>
        <w:t xml:space="preserve">. </w:t>
      </w:r>
    </w:p>
    <w:p w:rsidR="008354B6" w:rsidRPr="008354B6" w:rsidRDefault="008354B6" w:rsidP="008354B6">
      <w:pPr>
        <w:rPr>
          <w:rFonts w:ascii="Arial" w:hAnsi="Arial" w:cs="Arial"/>
        </w:rPr>
      </w:pPr>
      <w:r w:rsidRPr="008354B6">
        <w:rPr>
          <w:rFonts w:ascii="Arial" w:hAnsi="Arial" w:cs="Arial"/>
          <w:b/>
          <w:bCs/>
          <w:color w:val="990033"/>
          <w:sz w:val="20"/>
          <w:szCs w:val="20"/>
        </w:rPr>
        <w:t> </w:t>
      </w: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 w:rsidRPr="006F781B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055E82" w:rsidRPr="00352EAC" w:rsidRDefault="009E644F" w:rsidP="004D7BCD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eventspeaker"/>
          <w:rFonts w:ascii="Arial" w:hAnsi="Arial" w:cs="Arial"/>
          <w:color w:val="000000"/>
          <w:sz w:val="22"/>
          <w:szCs w:val="22"/>
        </w:rPr>
        <w:t xml:space="preserve">  </w:t>
      </w:r>
      <w:r w:rsidR="00352EAC">
        <w:rPr>
          <w:rFonts w:ascii="Arial" w:hAnsi="Arial" w:cs="Arial"/>
          <w:sz w:val="22"/>
          <w:szCs w:val="22"/>
        </w:rPr>
        <w:t>В</w:t>
      </w:r>
      <w:r w:rsidR="00352EAC" w:rsidRPr="00352EAC">
        <w:rPr>
          <w:rFonts w:ascii="Arial" w:hAnsi="Arial" w:cs="Arial"/>
          <w:sz w:val="22"/>
          <w:szCs w:val="22"/>
        </w:rPr>
        <w:t xml:space="preserve">ступили в силу значительные изменения в Федеральный закон «О несостоятельности (банкротстве)». Усиление защиты прав кредиторов. Какие особенности теперь будут при подаче заявления должником в ходе проведения процедуры банкротства. Новации в защите прав залоговых кредиторов. Статус залогового кредитора и особенности продажи залогового имущества. Что изменилось в порядке работы саморегулируемых организаций. Должник утрачивает право самостоятельно выбирать кандидатуру временного управляющего или саморегулируемую организацию, из числа членов которой он должен быть утвержден. Изменения статуса и процедуры регулирования деятельности арбитражного управляющего. Эти и другие, не менее важные изменения будут подробно рассматриваться на семинаре. Отдельное внимание будет уделено проблемам субсидиарной ответственности лиц, входящих в состав органов управления юридического лица, основаниям оспаривания сделок и институту банкротства граждан, который </w:t>
      </w:r>
      <w:r w:rsidR="00352EAC">
        <w:rPr>
          <w:rFonts w:ascii="Arial" w:hAnsi="Arial" w:cs="Arial"/>
          <w:sz w:val="22"/>
          <w:szCs w:val="22"/>
        </w:rPr>
        <w:t>был введен</w:t>
      </w:r>
      <w:r w:rsidR="00352EAC" w:rsidRPr="00352EAC">
        <w:rPr>
          <w:rFonts w:ascii="Arial" w:hAnsi="Arial" w:cs="Arial"/>
          <w:sz w:val="22"/>
          <w:szCs w:val="22"/>
        </w:rPr>
        <w:t xml:space="preserve"> с 01 июля 2015 г. Практические аспекты деятельности, рекомендации экспертов, последняя судебно-арбитражная практика</w:t>
      </w:r>
      <w:proofErr w:type="gramStart"/>
      <w:r w:rsidR="00352EAC" w:rsidRPr="00352EAC">
        <w:rPr>
          <w:rFonts w:ascii="Arial" w:hAnsi="Arial" w:cs="Arial"/>
          <w:sz w:val="22"/>
          <w:szCs w:val="22"/>
        </w:rPr>
        <w:t>.</w:t>
      </w:r>
      <w:r w:rsidR="004D7BCD" w:rsidRPr="00352EAC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8354B6" w:rsidRPr="006F781B" w:rsidRDefault="008354B6" w:rsidP="00EC7B66">
      <w:pPr>
        <w:spacing w:line="276" w:lineRule="auto"/>
        <w:rPr>
          <w:rFonts w:ascii="Arial" w:hAnsi="Arial" w:cs="Arial"/>
          <w:sz w:val="28"/>
        </w:rPr>
      </w:pPr>
      <w:r w:rsidRPr="006F781B">
        <w:rPr>
          <w:rFonts w:ascii="Arial" w:hAnsi="Arial" w:cs="Arial"/>
          <w:b/>
          <w:bCs/>
          <w:color w:val="990033"/>
          <w:sz w:val="22"/>
          <w:szCs w:val="20"/>
        </w:rPr>
        <w:t> </w:t>
      </w:r>
    </w:p>
    <w:p w:rsidR="008354B6" w:rsidRPr="006F781B" w:rsidRDefault="00D77A48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 xml:space="preserve">Семинар подготовлен </w:t>
      </w:r>
      <w:proofErr w:type="gramStart"/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для</w:t>
      </w:r>
      <w:proofErr w:type="gramEnd"/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D77A48" w:rsidRPr="00352EAC" w:rsidRDefault="009E644F" w:rsidP="00D77A48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 xml:space="preserve">  </w:t>
      </w:r>
      <w:r w:rsidR="00352EAC" w:rsidRPr="00352EAC">
        <w:rPr>
          <w:rFonts w:ascii="Arial" w:hAnsi="Arial" w:cs="Arial"/>
          <w:sz w:val="22"/>
          <w:szCs w:val="22"/>
        </w:rPr>
        <w:t>Руководител</w:t>
      </w:r>
      <w:r w:rsidR="00352EAC">
        <w:rPr>
          <w:rFonts w:ascii="Arial" w:hAnsi="Arial" w:cs="Arial"/>
          <w:sz w:val="22"/>
          <w:szCs w:val="22"/>
        </w:rPr>
        <w:t>ей</w:t>
      </w:r>
      <w:r w:rsidR="00352EAC" w:rsidRPr="00352EAC">
        <w:rPr>
          <w:rFonts w:ascii="Arial" w:hAnsi="Arial" w:cs="Arial"/>
          <w:sz w:val="22"/>
          <w:szCs w:val="22"/>
        </w:rPr>
        <w:t xml:space="preserve"> юридических отделов и юрисконсульт</w:t>
      </w:r>
      <w:r w:rsidR="00352EAC">
        <w:rPr>
          <w:rFonts w:ascii="Arial" w:hAnsi="Arial" w:cs="Arial"/>
          <w:sz w:val="22"/>
          <w:szCs w:val="22"/>
        </w:rPr>
        <w:t>ов</w:t>
      </w:r>
      <w:r w:rsidR="00352EAC" w:rsidRPr="00352EAC">
        <w:rPr>
          <w:rFonts w:ascii="Arial" w:hAnsi="Arial" w:cs="Arial"/>
          <w:sz w:val="22"/>
          <w:szCs w:val="22"/>
        </w:rPr>
        <w:t>, практикующи</w:t>
      </w:r>
      <w:r w:rsidR="00352EAC">
        <w:rPr>
          <w:rFonts w:ascii="Arial" w:hAnsi="Arial" w:cs="Arial"/>
          <w:sz w:val="22"/>
          <w:szCs w:val="22"/>
        </w:rPr>
        <w:t>х</w:t>
      </w:r>
      <w:r w:rsidR="00352EAC" w:rsidRPr="00352EAC">
        <w:rPr>
          <w:rFonts w:ascii="Arial" w:hAnsi="Arial" w:cs="Arial"/>
          <w:sz w:val="22"/>
          <w:szCs w:val="22"/>
        </w:rPr>
        <w:t xml:space="preserve"> ведение судебных споров и применения законодательства о банкротстве, специалист</w:t>
      </w:r>
      <w:r w:rsidR="00352EAC">
        <w:rPr>
          <w:rFonts w:ascii="Arial" w:hAnsi="Arial" w:cs="Arial"/>
          <w:sz w:val="22"/>
          <w:szCs w:val="22"/>
        </w:rPr>
        <w:t>ов</w:t>
      </w:r>
      <w:r w:rsidR="00352EAC" w:rsidRPr="00352EAC">
        <w:rPr>
          <w:rFonts w:ascii="Arial" w:hAnsi="Arial" w:cs="Arial"/>
          <w:sz w:val="22"/>
          <w:szCs w:val="22"/>
        </w:rPr>
        <w:t xml:space="preserve"> кредитных организаций, специалист</w:t>
      </w:r>
      <w:r w:rsidR="00352EAC">
        <w:rPr>
          <w:rFonts w:ascii="Arial" w:hAnsi="Arial" w:cs="Arial"/>
          <w:sz w:val="22"/>
          <w:szCs w:val="22"/>
        </w:rPr>
        <w:t>ов</w:t>
      </w:r>
      <w:r w:rsidR="00352EAC" w:rsidRPr="00352EAC">
        <w:rPr>
          <w:rFonts w:ascii="Arial" w:hAnsi="Arial" w:cs="Arial"/>
          <w:sz w:val="22"/>
          <w:szCs w:val="22"/>
        </w:rPr>
        <w:t xml:space="preserve"> по антикризисному управлению, </w:t>
      </w:r>
      <w:proofErr w:type="spellStart"/>
      <w:r w:rsidR="00352EAC" w:rsidRPr="00352EAC">
        <w:rPr>
          <w:rFonts w:ascii="Arial" w:hAnsi="Arial" w:cs="Arial"/>
          <w:sz w:val="22"/>
          <w:szCs w:val="22"/>
        </w:rPr>
        <w:t>арбитражны</w:t>
      </w:r>
      <w:r w:rsidR="00352EAC">
        <w:rPr>
          <w:rFonts w:ascii="Arial" w:hAnsi="Arial" w:cs="Arial"/>
          <w:sz w:val="22"/>
          <w:szCs w:val="22"/>
        </w:rPr>
        <w:t>ч</w:t>
      </w:r>
      <w:proofErr w:type="spellEnd"/>
      <w:r w:rsidR="00352EAC">
        <w:rPr>
          <w:rFonts w:ascii="Arial" w:hAnsi="Arial" w:cs="Arial"/>
          <w:sz w:val="22"/>
          <w:szCs w:val="22"/>
        </w:rPr>
        <w:t xml:space="preserve"> управляющих</w:t>
      </w:r>
      <w:r w:rsidR="00352EAC" w:rsidRPr="00352EAC">
        <w:rPr>
          <w:rFonts w:ascii="Arial" w:hAnsi="Arial" w:cs="Arial"/>
          <w:sz w:val="22"/>
          <w:szCs w:val="22"/>
        </w:rPr>
        <w:t>.</w:t>
      </w:r>
    </w:p>
    <w:p w:rsidR="008354B6" w:rsidRPr="00F4204A" w:rsidRDefault="008354B6" w:rsidP="00F4204A">
      <w:pPr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82712C" w:rsidRPr="0082712C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7E306B">
        <w:rPr>
          <w:rFonts w:ascii="Arial" w:hAnsi="Arial" w:cs="Arial"/>
          <w:color w:val="000000"/>
          <w:sz w:val="22"/>
          <w:szCs w:val="20"/>
        </w:rPr>
        <w:t xml:space="preserve">г. </w:t>
      </w:r>
      <w:r w:rsidR="006462A2">
        <w:rPr>
          <w:rFonts w:ascii="Arial" w:hAnsi="Arial" w:cs="Arial"/>
          <w:color w:val="000000"/>
          <w:sz w:val="22"/>
          <w:szCs w:val="20"/>
        </w:rPr>
        <w:t>Санкт-Петербург, ул. Смолячкова, д.5, отель «Балтия»</w:t>
      </w:r>
    </w:p>
    <w:p w:rsidR="0082712C" w:rsidRPr="0082712C" w:rsidRDefault="00B31F7A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DB7685">
        <w:rPr>
          <w:rFonts w:ascii="Arial" w:hAnsi="Arial" w:cs="Arial"/>
          <w:color w:val="000000"/>
          <w:sz w:val="22"/>
          <w:szCs w:val="20"/>
        </w:rPr>
        <w:t>13 июня</w:t>
      </w:r>
      <w:bookmarkStart w:id="0" w:name="_GoBack"/>
      <w:bookmarkEnd w:id="0"/>
      <w:r w:rsidR="00E171E4">
        <w:rPr>
          <w:rFonts w:ascii="Arial" w:hAnsi="Arial" w:cs="Arial"/>
          <w:color w:val="000000"/>
          <w:sz w:val="22"/>
          <w:szCs w:val="20"/>
        </w:rPr>
        <w:t xml:space="preserve"> 2018</w:t>
      </w:r>
      <w:r w:rsidR="0045329B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года </w:t>
      </w:r>
      <w:r w:rsidR="00A413AC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D77A48">
      <w:pPr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Ключевые изменения Федерального закона "О несостоятельности (банкротстве)", вступившие в силу в 2014-2015 гг. Общие положения законодательства. Федеральные законы №405-ФЗ, №457-ФЗ. </w:t>
      </w:r>
      <w:r w:rsidRPr="00B868EF">
        <w:rPr>
          <w:rFonts w:ascii="Arial" w:hAnsi="Arial" w:cs="Arial"/>
          <w:sz w:val="22"/>
          <w:szCs w:val="22"/>
        </w:rPr>
        <w:t xml:space="preserve">Какие особенности теперь будут при подаче заявления должником в ходе проведения процедуры банкротства. Денежное обязательство для целей применения законодательства о банкротстве, определение его размера и состава. Собрание кредиторов. Порядок ведения реестра требований кредиторов. Новое в правовом статусе комитета кредиторов, проведении его заседаний. Порядок оценки имущества должника при банкротстве. </w:t>
      </w:r>
      <w:r w:rsidRPr="00B868EF">
        <w:rPr>
          <w:rFonts w:ascii="Arial" w:hAnsi="Arial" w:cs="Arial"/>
          <w:b/>
          <w:bCs/>
          <w:sz w:val="22"/>
          <w:szCs w:val="22"/>
        </w:rPr>
        <w:t>№ 482-ФЗ от 29.12.2014</w:t>
      </w:r>
      <w:r w:rsidRPr="00B868EF">
        <w:rPr>
          <w:rFonts w:ascii="Arial" w:hAnsi="Arial" w:cs="Arial"/>
          <w:sz w:val="22"/>
          <w:szCs w:val="22"/>
        </w:rPr>
        <w:t xml:space="preserve">. Право банка инициировать банкротство заемщика без решения суда. Лишение должника права выбирать СРО или арбитражного управляющего. Право суда не утверждать предложенного АУ. Реформа правил о замещении активов. Право залогового кредитора голосовать в конкурсном производстве.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№ 432-ФЗ от 22.12.2014.</w:t>
      </w:r>
      <w:r w:rsidRPr="00B868EF">
        <w:rPr>
          <w:rFonts w:ascii="Arial" w:hAnsi="Arial" w:cs="Arial"/>
          <w:sz w:val="22"/>
          <w:szCs w:val="22"/>
        </w:rPr>
        <w:t xml:space="preserve"> Консолидация законодательства о банкротстве банков. Изменение правил об оспаривании сделок при банкротстве. Введение повышения цены при публичном предложении.</w:t>
      </w:r>
      <w:r w:rsidRPr="00B868EF">
        <w:rPr>
          <w:rFonts w:ascii="Arial" w:hAnsi="Arial" w:cs="Arial"/>
          <w:b/>
          <w:bCs/>
          <w:sz w:val="22"/>
          <w:szCs w:val="22"/>
        </w:rPr>
        <w:t> </w:t>
      </w:r>
      <w:r w:rsidRPr="00B868EF">
        <w:rPr>
          <w:rStyle w:val="aa"/>
          <w:rFonts w:ascii="Arial" w:hAnsi="Arial" w:cs="Arial"/>
          <w:sz w:val="22"/>
          <w:szCs w:val="22"/>
        </w:rPr>
        <w:t>Увеличение суммы входа в банкротство.</w:t>
      </w:r>
      <w:r w:rsidRPr="00B868EF">
        <w:rPr>
          <w:rFonts w:ascii="Arial" w:hAnsi="Arial" w:cs="Arial"/>
          <w:b/>
          <w:bCs/>
          <w:sz w:val="22"/>
          <w:szCs w:val="22"/>
        </w:rPr>
        <w:t> </w:t>
      </w:r>
      <w:r w:rsidRPr="00B868EF">
        <w:rPr>
          <w:rFonts w:ascii="Arial" w:hAnsi="Arial" w:cs="Arial"/>
          <w:sz w:val="22"/>
          <w:szCs w:val="22"/>
        </w:rPr>
        <w:t xml:space="preserve">Согласно прошлой редакции ФЗ о банкротстве производство по делу о банкротстве могло быть возбуждено арбитражным судом при условии, что требования к должнику — юридическому лицу в совокупности составляют не менее 100 тысяч рублей, теперь не менее 300 тысяч рублей.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3.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Процедуры банкротства предприятия:</w:t>
      </w:r>
      <w:r w:rsidRPr="00B868EF">
        <w:rPr>
          <w:rFonts w:ascii="Arial" w:hAnsi="Arial" w:cs="Arial"/>
          <w:sz w:val="22"/>
          <w:szCs w:val="22"/>
        </w:rPr>
        <w:t xml:space="preserve"> наблюдение, финансовое оздоровление, внешнее управление, конкурсное производство, мировое соглашение. Этапы, сроки, цели, порядок реализации, особенности. Процессуальный порядок рассмотрения дел о банкротстве в суде. Порядок оспаривания определения. Применение исполнительного производства. Особенности ведения упрощенной процедуры ликвидируемого должника. </w:t>
      </w:r>
    </w:p>
    <w:p w:rsidR="00B868EF" w:rsidRPr="00B868EF" w:rsidRDefault="00B868EF" w:rsidP="00B868EF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4.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Процессуальные особенности возбуждения дела о банкротстве. </w:t>
      </w:r>
      <w:r w:rsidRPr="00B868EF">
        <w:rPr>
          <w:rStyle w:val="aa"/>
          <w:rFonts w:ascii="Arial" w:hAnsi="Arial" w:cs="Arial"/>
          <w:sz w:val="22"/>
          <w:szCs w:val="22"/>
        </w:rPr>
        <w:t>Дополнение порядка оформления результатов голосования на собрании кредиторов.</w:t>
      </w:r>
      <w:r w:rsidRPr="00B868EF">
        <w:rPr>
          <w:rFonts w:ascii="Arial" w:hAnsi="Arial" w:cs="Arial"/>
          <w:sz w:val="22"/>
          <w:szCs w:val="22"/>
        </w:rPr>
        <w:t xml:space="preserve"> Процедура возбуждения дела. Подведомственность и подсудность. Процессуальные особенности возбуждения дела о банкротстве по заявлению должника. Оформление заявлений о банкротстве. Определение лиц, имеющих право на обращение в суд с заявлением о признании должника банкротом. Принятие заявления судом, арбитражным судом. Отказ в принятии заявления, возвращение заявления, прекращение производства по делу и оставление заявления без рассмотрения. Приостановление и прекращение производства по делу. Подготовка дела к судебному разбирательству. Принятие судом мер обеспечения требований кредитора. Процессуальные особенности обжалования определений суда в рамках дела о банкротстве. </w:t>
      </w:r>
    </w:p>
    <w:p w:rsidR="00B868EF" w:rsidRPr="00B868EF" w:rsidRDefault="00B868EF" w:rsidP="00B868EF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5.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Собрание и комитет кредиторов.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Style w:val="aa"/>
          <w:rFonts w:ascii="Arial" w:hAnsi="Arial" w:cs="Arial"/>
          <w:sz w:val="22"/>
          <w:szCs w:val="22"/>
        </w:rPr>
        <w:t>Уточнение порядка уведомления кредиторов о собрании.</w:t>
      </w:r>
      <w:r w:rsidRPr="00B868EF">
        <w:rPr>
          <w:rFonts w:ascii="Arial" w:hAnsi="Arial" w:cs="Arial"/>
          <w:sz w:val="22"/>
          <w:szCs w:val="22"/>
        </w:rPr>
        <w:t xml:space="preserve"> Порядок проведения, компетенции, принятие решения. Конкурсные кредиторы. Ведение реестра требований кредитора. Обязанность для лица, которое проводит собрание кредиторов, обеспечить возможность ознакомления с материалами, представленными участникам собрания кредиторов для ознакомления и (или) утверждения. Особенности правового статуса конкурсных кредиторов, требования которых обеспечены залогом имущества должника.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Style w:val="aa"/>
          <w:rFonts w:ascii="Arial" w:hAnsi="Arial" w:cs="Arial"/>
          <w:sz w:val="22"/>
          <w:szCs w:val="22"/>
        </w:rPr>
        <w:t>6.  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Арбитражный управляющий. </w:t>
      </w:r>
      <w:r w:rsidRPr="00B868EF">
        <w:rPr>
          <w:rFonts w:ascii="Arial" w:hAnsi="Arial" w:cs="Arial"/>
          <w:sz w:val="22"/>
          <w:szCs w:val="22"/>
        </w:rPr>
        <w:t xml:space="preserve">Права и обязанности. Изменения в порядке выбора арбитражного управляющего в зависимости от лица, инициирующего банкротство должника. Новые основания для отказа в утверждении арбитражного управляющего судом. Ответственность арбитражного управляющего. Особенности выплаты вознаграждения арбитражному управляющему. </w:t>
      </w:r>
      <w:r w:rsidRPr="00B868EF">
        <w:rPr>
          <w:rStyle w:val="aa"/>
          <w:rFonts w:ascii="Arial" w:hAnsi="Arial" w:cs="Arial"/>
          <w:sz w:val="22"/>
          <w:szCs w:val="22"/>
        </w:rPr>
        <w:t xml:space="preserve">Назначение кандидатуры арбитражного управляющего при </w:t>
      </w:r>
      <w:proofErr w:type="spellStart"/>
      <w:r w:rsidRPr="00B868EF">
        <w:rPr>
          <w:rStyle w:val="aa"/>
          <w:rFonts w:ascii="Arial" w:hAnsi="Arial" w:cs="Arial"/>
          <w:sz w:val="22"/>
          <w:szCs w:val="22"/>
        </w:rPr>
        <w:t>самобанкротстве</w:t>
      </w:r>
      <w:proofErr w:type="spellEnd"/>
      <w:r w:rsidRPr="00B868EF">
        <w:rPr>
          <w:rStyle w:val="aa"/>
          <w:rFonts w:ascii="Arial" w:hAnsi="Arial" w:cs="Arial"/>
          <w:sz w:val="22"/>
          <w:szCs w:val="22"/>
        </w:rPr>
        <w:t>. Основания для отказа в утверждении арбитражного управляющего.</w:t>
      </w:r>
      <w:r w:rsidRPr="00B868EF">
        <w:rPr>
          <w:rFonts w:ascii="Arial" w:hAnsi="Arial" w:cs="Arial"/>
          <w:b/>
          <w:bCs/>
          <w:sz w:val="22"/>
          <w:szCs w:val="22"/>
        </w:rPr>
        <w:t> Обжалование неправомерных действий/бездействий арбитражного управляющего.</w:t>
      </w:r>
      <w:r w:rsidRPr="00B868EF">
        <w:rPr>
          <w:rFonts w:ascii="Arial" w:hAnsi="Arial" w:cs="Arial"/>
          <w:sz w:val="22"/>
          <w:szCs w:val="22"/>
        </w:rPr>
        <w:t xml:space="preserve"> Контроль и надзор за деятельностью. Возможность смены или отстранения арбитражного управляющего. </w:t>
      </w:r>
      <w:r w:rsidRPr="00B868EF">
        <w:rPr>
          <w:rStyle w:val="aa"/>
          <w:rFonts w:ascii="Arial" w:hAnsi="Arial" w:cs="Arial"/>
          <w:sz w:val="22"/>
          <w:szCs w:val="22"/>
        </w:rPr>
        <w:t>Новая</w:t>
      </w:r>
      <w:r w:rsidRPr="00B868EF">
        <w:rPr>
          <w:rFonts w:ascii="Arial" w:hAnsi="Arial" w:cs="Arial"/>
          <w:b/>
          <w:bCs/>
          <w:sz w:val="22"/>
          <w:szCs w:val="22"/>
        </w:rPr>
        <w:t> </w:t>
      </w:r>
      <w:r w:rsidRPr="00B868EF">
        <w:rPr>
          <w:rStyle w:val="aa"/>
          <w:rFonts w:ascii="Arial" w:hAnsi="Arial" w:cs="Arial"/>
          <w:sz w:val="22"/>
          <w:szCs w:val="22"/>
        </w:rPr>
        <w:t>обязанность арбитражного управляющего: заключить договор дополнительного страхования</w:t>
      </w:r>
      <w:r w:rsidRPr="00B868EF">
        <w:rPr>
          <w:rFonts w:ascii="Arial" w:hAnsi="Arial" w:cs="Arial"/>
          <w:sz w:val="22"/>
          <w:szCs w:val="22"/>
        </w:rPr>
        <w:t xml:space="preserve"> ответственности </w:t>
      </w:r>
      <w:r w:rsidRPr="00B868EF">
        <w:rPr>
          <w:rStyle w:val="aa"/>
          <w:rFonts w:ascii="Arial" w:hAnsi="Arial" w:cs="Arial"/>
          <w:sz w:val="22"/>
          <w:szCs w:val="22"/>
        </w:rPr>
        <w:t>по решению СРО. Право арбитражного управляющего запрашивать сведения расширено и дополнено.</w:t>
      </w:r>
      <w:r w:rsidRPr="00B868EF">
        <w:rPr>
          <w:rFonts w:ascii="Arial" w:hAnsi="Arial" w:cs="Arial"/>
          <w:sz w:val="22"/>
          <w:szCs w:val="22"/>
        </w:rPr>
        <w:t xml:space="preserve">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7.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Применение законодательства об исполнительном производстве на стадии банкротства. </w:t>
      </w:r>
      <w:r w:rsidRPr="00B868EF">
        <w:rPr>
          <w:rFonts w:ascii="Arial" w:hAnsi="Arial" w:cs="Arial"/>
          <w:sz w:val="22"/>
          <w:szCs w:val="22"/>
        </w:rPr>
        <w:t xml:space="preserve">Последствия введения процедуры банкротства в отношении должника по исполнительному производству. Особенности исполнения текущих обязательств. Аресты имущества должника.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lastRenderedPageBreak/>
        <w:t>8.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Продажа имущества должника. </w:t>
      </w:r>
      <w:r w:rsidRPr="00B868EF">
        <w:rPr>
          <w:rFonts w:ascii="Arial" w:hAnsi="Arial" w:cs="Arial"/>
          <w:sz w:val="22"/>
          <w:szCs w:val="22"/>
        </w:rPr>
        <w:t xml:space="preserve">Новеллы законодательства (несколько участников в публичном предложении). Порядок продажи имущества должника (аукцион, публичное предложение). Оспаривание торгов. Типичные злоупотребления в процедуре проведения торгов. Продажа предмета залога. </w:t>
      </w:r>
      <w:r w:rsidRPr="00B868EF">
        <w:rPr>
          <w:rFonts w:ascii="Arial" w:hAnsi="Arial" w:cs="Arial"/>
          <w:b/>
          <w:bCs/>
          <w:sz w:val="22"/>
          <w:szCs w:val="22"/>
        </w:rPr>
        <w:t>Электронные торги по продаже имуществ</w:t>
      </w:r>
      <w:proofErr w:type="gramStart"/>
      <w:r w:rsidRPr="00B868EF">
        <w:rPr>
          <w:rFonts w:ascii="Arial" w:hAnsi="Arial" w:cs="Arial"/>
          <w:b/>
          <w:bCs/>
          <w:sz w:val="22"/>
          <w:szCs w:val="22"/>
        </w:rPr>
        <w:t>а</w:t>
      </w:r>
      <w:r w:rsidRPr="00B868EF">
        <w:rPr>
          <w:rFonts w:ascii="Arial" w:hAnsi="Arial" w:cs="Arial"/>
          <w:sz w:val="22"/>
          <w:szCs w:val="22"/>
        </w:rPr>
        <w:t>(</w:t>
      </w:r>
      <w:proofErr w:type="gramEnd"/>
      <w:r w:rsidRPr="00B868EF">
        <w:rPr>
          <w:rFonts w:ascii="Arial" w:hAnsi="Arial" w:cs="Arial"/>
          <w:sz w:val="22"/>
          <w:szCs w:val="22"/>
        </w:rPr>
        <w:t xml:space="preserve">предприятий) должников в деле о банкротстве в форме аукциона, конкурса, публичного предложения.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9.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Подозрительные сделки.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Оспаривание сделок на основании ФЗ «О несостоятельности (банкротстве)». </w:t>
      </w:r>
      <w:r w:rsidRPr="00B868EF">
        <w:rPr>
          <w:rFonts w:ascii="Arial" w:hAnsi="Arial" w:cs="Arial"/>
          <w:sz w:val="22"/>
          <w:szCs w:val="22"/>
        </w:rPr>
        <w:t xml:space="preserve">Понятие подозрительной сделки и критерии подозрительности. Предпочтительное удовлетворение. Возможность оспаривания действий по исполнению обязательств. Круг сделок, которые могут оспариваться. Обычная хозяйственная деятельность. Недобросовестность контрагента по сделке (в </w:t>
      </w:r>
      <w:proofErr w:type="spellStart"/>
      <w:r w:rsidRPr="00B868EF">
        <w:rPr>
          <w:rFonts w:ascii="Arial" w:hAnsi="Arial" w:cs="Arial"/>
          <w:sz w:val="22"/>
          <w:szCs w:val="22"/>
        </w:rPr>
        <w:t>т.ч</w:t>
      </w:r>
      <w:proofErr w:type="spellEnd"/>
      <w:r w:rsidRPr="00B868EF">
        <w:rPr>
          <w:rFonts w:ascii="Arial" w:hAnsi="Arial" w:cs="Arial"/>
          <w:sz w:val="22"/>
          <w:szCs w:val="22"/>
        </w:rPr>
        <w:t xml:space="preserve">. кредитора), вопросы доказывания. Равноценные срочные сделки. Исполнение кредитных обязательств (в том числе в рамках кредитной линии, овердрафта и т.п.). Последствия признания сделки недействительной. Процессуальные особенности рассмотрения заявления об оспаривании сделок.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10.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Субсидиарная ответственность лиц, контролирующих должника (в </w:t>
      </w:r>
      <w:proofErr w:type="spellStart"/>
      <w:r w:rsidRPr="00B868EF">
        <w:rPr>
          <w:rFonts w:ascii="Arial" w:hAnsi="Arial" w:cs="Arial"/>
          <w:b/>
          <w:bCs/>
          <w:sz w:val="22"/>
          <w:szCs w:val="22"/>
        </w:rPr>
        <w:t>т.ч</w:t>
      </w:r>
      <w:proofErr w:type="spellEnd"/>
      <w:r w:rsidRPr="00B868EF">
        <w:rPr>
          <w:rFonts w:ascii="Arial" w:hAnsi="Arial" w:cs="Arial"/>
          <w:b/>
          <w:bCs/>
          <w:sz w:val="22"/>
          <w:szCs w:val="22"/>
        </w:rPr>
        <w:t>. руководителей, учредителей, главного бухгалтера).</w:t>
      </w:r>
      <w:r w:rsidRPr="00B868EF">
        <w:rPr>
          <w:rFonts w:ascii="Arial" w:hAnsi="Arial" w:cs="Arial"/>
          <w:sz w:val="22"/>
          <w:szCs w:val="22"/>
        </w:rPr>
        <w:t xml:space="preserve"> Основания и порядок привлечения к ответственности руководителей и лиц, контролирующих деятельность организации-банкрота. Исполнение определения о привлечении к субсидиарной ответственности, продажа требования. Перспективы дальнейшего </w:t>
      </w:r>
      <w:proofErr w:type="gramStart"/>
      <w:r w:rsidRPr="00B868EF">
        <w:rPr>
          <w:rFonts w:ascii="Arial" w:hAnsi="Arial" w:cs="Arial"/>
          <w:sz w:val="22"/>
          <w:szCs w:val="22"/>
        </w:rPr>
        <w:t>развития данного механизма защиты прав кредиторов</w:t>
      </w:r>
      <w:proofErr w:type="gramEnd"/>
      <w:r w:rsidRPr="00B868EF">
        <w:rPr>
          <w:rFonts w:ascii="Arial" w:hAnsi="Arial" w:cs="Arial"/>
          <w:sz w:val="22"/>
          <w:szCs w:val="22"/>
        </w:rPr>
        <w:t xml:space="preserve">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11.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Особенности банкротства отдельных категорий должников. </w:t>
      </w:r>
      <w:r w:rsidRPr="00B868EF">
        <w:rPr>
          <w:rFonts w:ascii="Arial" w:hAnsi="Arial" w:cs="Arial"/>
          <w:sz w:val="22"/>
          <w:szCs w:val="22"/>
        </w:rPr>
        <w:t xml:space="preserve">Особенности банкротства градообразующих организаций. Ключевые новеллы в порядке банкротства кредитных организаций. Специфика банкротства и новеллы законодательства в отношении банкротства некоторых иных категорий должников (застройщиков, участников рынка ценных бумаг, стратегических предприятий, субъектов естественных монополий и др.). Специфика банкротства отсутствующих и ликвидируемых должников. </w:t>
      </w:r>
    </w:p>
    <w:p w:rsidR="00B868EF" w:rsidRPr="00B868EF" w:rsidRDefault="00B868EF" w:rsidP="00B868EF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12.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Style w:val="aa"/>
          <w:rFonts w:ascii="Arial" w:hAnsi="Arial" w:cs="Arial"/>
          <w:sz w:val="22"/>
          <w:szCs w:val="22"/>
        </w:rPr>
        <w:t>Привилегии для кредитных организаций и ФНС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Fonts w:ascii="Arial" w:hAnsi="Arial" w:cs="Arial"/>
          <w:b/>
          <w:bCs/>
          <w:sz w:val="22"/>
          <w:szCs w:val="22"/>
        </w:rPr>
        <w:t>для инициирования банкротства</w:t>
      </w:r>
      <w:r w:rsidRPr="00B868EF">
        <w:rPr>
          <w:rStyle w:val="aa"/>
          <w:rFonts w:ascii="Arial" w:hAnsi="Arial" w:cs="Arial"/>
          <w:sz w:val="22"/>
          <w:szCs w:val="22"/>
        </w:rPr>
        <w:t>.</w:t>
      </w:r>
      <w:r w:rsidRPr="00B868EF">
        <w:rPr>
          <w:rFonts w:ascii="Arial" w:hAnsi="Arial" w:cs="Arial"/>
          <w:sz w:val="22"/>
          <w:szCs w:val="22"/>
        </w:rPr>
        <w:t xml:space="preserve"> Получение банками права на обращение в суд </w:t>
      </w:r>
      <w:proofErr w:type="gramStart"/>
      <w:r w:rsidRPr="00B868EF">
        <w:rPr>
          <w:rFonts w:ascii="Arial" w:hAnsi="Arial" w:cs="Arial"/>
          <w:sz w:val="22"/>
          <w:szCs w:val="22"/>
        </w:rPr>
        <w:t>с даты возникновения</w:t>
      </w:r>
      <w:proofErr w:type="gramEnd"/>
      <w:r w:rsidRPr="00B868EF">
        <w:rPr>
          <w:rFonts w:ascii="Arial" w:hAnsi="Arial" w:cs="Arial"/>
          <w:sz w:val="22"/>
          <w:szCs w:val="22"/>
        </w:rPr>
        <w:t xml:space="preserve"> признаков банкротства, ФНС – через месяц после принятия решения о взыскании задолженности налоговым либо таможенным органом - вместо подтверждения задолженности в судебном порядке. </w:t>
      </w:r>
    </w:p>
    <w:p w:rsidR="00B868EF" w:rsidRPr="00B868EF" w:rsidRDefault="00B868EF" w:rsidP="00B868EF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13.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Style w:val="aa"/>
          <w:rFonts w:ascii="Arial" w:hAnsi="Arial" w:cs="Arial"/>
          <w:sz w:val="22"/>
          <w:szCs w:val="22"/>
        </w:rPr>
        <w:t>Изменение процедуры определения финансовых обязательств. Расходы на текущую деятельность должника отделены от расходов на процедуры банкротства.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68EF">
        <w:rPr>
          <w:rFonts w:ascii="Arial" w:hAnsi="Arial" w:cs="Arial"/>
          <w:sz w:val="22"/>
          <w:szCs w:val="22"/>
        </w:rPr>
        <w:t xml:space="preserve">Понятие и состав расходов по делу о банкротстве. Лимиты объема расходов на привлеченных лиц. Признание расходов </w:t>
      </w:r>
      <w:proofErr w:type="gramStart"/>
      <w:r w:rsidRPr="00B868EF">
        <w:rPr>
          <w:rFonts w:ascii="Arial" w:hAnsi="Arial" w:cs="Arial"/>
          <w:sz w:val="22"/>
          <w:szCs w:val="22"/>
        </w:rPr>
        <w:t>необоснованными</w:t>
      </w:r>
      <w:proofErr w:type="gramEnd"/>
      <w:r w:rsidRPr="00B868EF">
        <w:rPr>
          <w:rFonts w:ascii="Arial" w:hAnsi="Arial" w:cs="Arial"/>
          <w:sz w:val="22"/>
          <w:szCs w:val="22"/>
        </w:rPr>
        <w:t>: порядок и последствия. Взыскание расходов по делу о банкротстве.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 Текущие и обязательные платежи. </w:t>
      </w:r>
      <w:r w:rsidRPr="00B868EF">
        <w:rPr>
          <w:rFonts w:ascii="Arial" w:hAnsi="Arial" w:cs="Arial"/>
          <w:sz w:val="22"/>
          <w:szCs w:val="22"/>
        </w:rPr>
        <w:t>Понятие. Порядок квалификации, установления и исполнения. Порядок исполнения текущих обязательств, очередность, споры.</w:t>
      </w:r>
      <w:r w:rsidRPr="00B868EF">
        <w:rPr>
          <w:rFonts w:ascii="Arial" w:hAnsi="Arial" w:cs="Arial"/>
          <w:b/>
          <w:bCs/>
          <w:sz w:val="22"/>
          <w:szCs w:val="22"/>
        </w:rPr>
        <w:t> </w:t>
      </w:r>
      <w:r w:rsidRPr="00B868EF">
        <w:rPr>
          <w:rFonts w:ascii="Arial" w:hAnsi="Arial" w:cs="Arial"/>
          <w:sz w:val="22"/>
          <w:szCs w:val="22"/>
        </w:rPr>
        <w:t xml:space="preserve">Расходы на проведение процедур, применяемых в деле о банкротстве, не включают в себя расходы на оплату услуг лиц, привлекаемых для обеспечения текущей деятельности должника при проведении этих процедур.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14.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Банкротство граждан. Федеральный закон от 29.12.2014 N 476-ФЗ "О внесении изменений в Федеральный закон "О несостоятельности (банкротстве)" и отдельные законодательные акты РФ в части регулирования реабилитационных </w:t>
      </w:r>
      <w:r w:rsidRPr="00B868EF">
        <w:rPr>
          <w:rFonts w:ascii="Arial" w:hAnsi="Arial" w:cs="Arial"/>
          <w:b/>
          <w:bCs/>
          <w:sz w:val="22"/>
          <w:szCs w:val="22"/>
        </w:rPr>
        <w:lastRenderedPageBreak/>
        <w:t>процедур, применяемых в отношении гражданина-должника"</w:t>
      </w:r>
      <w:r w:rsidRPr="00B868EF">
        <w:rPr>
          <w:rFonts w:ascii="Arial" w:hAnsi="Arial" w:cs="Arial"/>
          <w:sz w:val="22"/>
          <w:szCs w:val="22"/>
        </w:rPr>
        <w:t xml:space="preserve">, вступающий в силу 01 июля 2015 года.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15.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Банкротство граждан.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Fonts w:ascii="Arial" w:hAnsi="Arial" w:cs="Arial"/>
          <w:b/>
          <w:bCs/>
          <w:sz w:val="22"/>
          <w:szCs w:val="22"/>
        </w:rPr>
        <w:t>Ключевые положения.</w:t>
      </w:r>
      <w:r w:rsidRPr="00B868EF">
        <w:rPr>
          <w:rFonts w:ascii="Arial" w:hAnsi="Arial" w:cs="Arial"/>
          <w:sz w:val="22"/>
          <w:szCs w:val="22"/>
        </w:rPr>
        <w:t xml:space="preserve"> Подведомственность и подсудность. План реструктуризации долгов гражданина (условия применения процедуры, подготовка проекта, порядок принятия решения собранием кредиторов, утверждение (отказ в утверждении) судом, изменение, отмена и т.п.). Признание гражданина банкротом и введение реализации имущества гражданина. Реализация имущества (состав имущества, порядок реализации), расчеты с кредиторами. Мировое соглашение в деле о банкротстве гражданина. Освобождение от обязательств. </w:t>
      </w:r>
      <w:r w:rsidRPr="00B868EF">
        <w:rPr>
          <w:rFonts w:ascii="Arial" w:hAnsi="Arial" w:cs="Arial"/>
          <w:b/>
          <w:bCs/>
          <w:sz w:val="22"/>
          <w:szCs w:val="22"/>
        </w:rPr>
        <w:t> </w:t>
      </w:r>
    </w:p>
    <w:p w:rsidR="00B868EF" w:rsidRPr="00B868EF" w:rsidRDefault="00B02A16" w:rsidP="00B868EF">
      <w:pPr>
        <w:pStyle w:val="a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B868EF" w:rsidRPr="00B868EF">
        <w:rPr>
          <w:rFonts w:ascii="Arial" w:hAnsi="Arial" w:cs="Arial"/>
          <w:b/>
          <w:bCs/>
          <w:sz w:val="22"/>
          <w:szCs w:val="22"/>
        </w:rPr>
        <w:t>.</w:t>
      </w:r>
      <w:r w:rsidR="00B868EF" w:rsidRPr="00B868EF">
        <w:rPr>
          <w:rFonts w:ascii="Arial" w:hAnsi="Arial" w:cs="Arial"/>
          <w:sz w:val="22"/>
          <w:szCs w:val="22"/>
        </w:rPr>
        <w:t xml:space="preserve">   </w:t>
      </w:r>
      <w:r w:rsidR="00B868EF" w:rsidRPr="00B868EF">
        <w:rPr>
          <w:rFonts w:ascii="Arial" w:hAnsi="Arial" w:cs="Arial"/>
          <w:b/>
          <w:bCs/>
          <w:sz w:val="22"/>
          <w:szCs w:val="22"/>
        </w:rPr>
        <w:t>Актуальные вопросы судебной практики</w:t>
      </w:r>
      <w:r w:rsidR="00B868EF" w:rsidRPr="00B868EF">
        <w:rPr>
          <w:rFonts w:ascii="Arial" w:hAnsi="Arial" w:cs="Arial"/>
          <w:sz w:val="22"/>
          <w:szCs w:val="22"/>
        </w:rPr>
        <w:t xml:space="preserve"> </w:t>
      </w:r>
      <w:r w:rsidR="00B868EF" w:rsidRPr="00B868EF">
        <w:rPr>
          <w:rFonts w:ascii="Arial" w:hAnsi="Arial" w:cs="Arial"/>
          <w:b/>
          <w:bCs/>
          <w:sz w:val="22"/>
          <w:szCs w:val="22"/>
        </w:rPr>
        <w:t>по рассмотрению дел о банкротстве за 2015 – 2016 г.</w:t>
      </w:r>
      <w:r w:rsidR="00B868EF" w:rsidRPr="00B868EF">
        <w:rPr>
          <w:rFonts w:ascii="Arial" w:hAnsi="Arial" w:cs="Arial"/>
          <w:sz w:val="22"/>
          <w:szCs w:val="22"/>
        </w:rPr>
        <w:t xml:space="preserve"> </w:t>
      </w:r>
    </w:p>
    <w:p w:rsidR="00117E3E" w:rsidRPr="00D77A48" w:rsidRDefault="00117E3E" w:rsidP="00D77A48">
      <w:pPr>
        <w:rPr>
          <w:rFonts w:ascii="Arial" w:hAnsi="Arial" w:cs="Arial"/>
        </w:rPr>
      </w:pPr>
    </w:p>
    <w:p w:rsidR="00117E3E" w:rsidRDefault="00117E3E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77A48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D77A48" w:rsidRPr="00D77A48" w:rsidRDefault="00D77A48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</w:p>
    <w:p w:rsidR="00B31F7A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 xml:space="preserve">Стоимость участия в семинаре составляет </w:t>
      </w:r>
      <w:r w:rsidR="006770D7">
        <w:rPr>
          <w:rFonts w:ascii="Arial" w:hAnsi="Arial" w:cs="Arial"/>
          <w:b/>
          <w:color w:val="000000"/>
          <w:sz w:val="22"/>
          <w:szCs w:val="22"/>
        </w:rPr>
        <w:t>21</w:t>
      </w:r>
      <w:r w:rsidRPr="00D77A48">
        <w:rPr>
          <w:rFonts w:ascii="Arial" w:hAnsi="Arial" w:cs="Arial"/>
          <w:b/>
          <w:color w:val="000000"/>
          <w:sz w:val="22"/>
          <w:szCs w:val="22"/>
        </w:rPr>
        <w:t xml:space="preserve"> 000 руб</w:t>
      </w:r>
      <w:r w:rsidRPr="00D77A48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Pr="00D77A48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D77A48">
        <w:rPr>
          <w:rFonts w:ascii="Arial" w:hAnsi="Arial" w:cs="Arial"/>
          <w:color w:val="000000"/>
          <w:sz w:val="22"/>
        </w:rPr>
        <w:t> </w:t>
      </w:r>
      <w:r w:rsidRPr="00D77A48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мероприятия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 xml:space="preserve">фирменное </w:t>
      </w:r>
      <w:r w:rsidRPr="00D77A48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>компании «Мир семинаров»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="0067364E" w:rsidRPr="00D77A48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D77A48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D77A48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05" w:rsidRDefault="00526505" w:rsidP="00154D2E">
      <w:r>
        <w:separator/>
      </w:r>
    </w:p>
  </w:endnote>
  <w:endnote w:type="continuationSeparator" w:id="0">
    <w:p w:rsidR="00526505" w:rsidRDefault="00526505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8354B6" w:rsidRDefault="006462A2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3175</wp:posOffset>
              </wp:positionV>
              <wp:extent cx="5601970" cy="0"/>
              <wp:effectExtent l="698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3pt;margin-top:.25pt;width:4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" strokecolor="black [3200]" strokeweight="1pt">
              <v:shadow color="#868686"/>
            </v:shape>
          </w:pict>
        </mc:Fallback>
      </mc:AlternateContent>
    </w:r>
    <w:r w:rsidR="009E644F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9E644F" w:rsidRPr="008354B6">
      <w:rPr>
        <w:rFonts w:ascii="Arial" w:hAnsi="Arial" w:cs="Arial"/>
        <w:sz w:val="22"/>
      </w:rPr>
      <w:t xml:space="preserve"> А</w:t>
    </w:r>
    <w:proofErr w:type="gramEnd"/>
    <w:r w:rsidR="009E644F" w:rsidRPr="008354B6">
      <w:rPr>
        <w:rFonts w:ascii="Arial" w:hAnsi="Arial" w:cs="Arial"/>
        <w:sz w:val="22"/>
      </w:rPr>
      <w:t>, помещение 11-Н</w:t>
    </w:r>
  </w:p>
  <w:p w:rsidR="009E644F" w:rsidRPr="002E072B" w:rsidRDefault="00526505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r>
      <w:fldChar w:fldCharType="begin"/>
    </w:r>
    <w:r w:rsidRPr="00DB7685">
      <w:rPr>
        <w:lang w:val="en-US"/>
      </w:rPr>
      <w:instrText xml:space="preserve"> HYPERLINK "mailto:mail@mirseminarov.com" </w:instrText>
    </w:r>
    <w:r>
      <w:fldChar w:fldCharType="separate"/>
    </w:r>
    <w:r w:rsidR="009E644F" w:rsidRPr="008354B6">
      <w:rPr>
        <w:rStyle w:val="a9"/>
        <w:rFonts w:ascii="Arial" w:hAnsi="Arial" w:cs="Arial"/>
        <w:color w:val="auto"/>
        <w:sz w:val="22"/>
        <w:u w:val="none"/>
        <w:lang w:val="en-US"/>
      </w:rPr>
      <w:t>mail@mirseminarov.com</w:t>
    </w:r>
    <w:r>
      <w:rPr>
        <w:rStyle w:val="a9"/>
        <w:rFonts w:ascii="Arial" w:hAnsi="Arial" w:cs="Arial"/>
        <w:color w:val="auto"/>
        <w:sz w:val="22"/>
        <w:u w:val="none"/>
        <w:lang w:val="en-US"/>
      </w:rPr>
      <w:fldChar w:fldCharType="end"/>
    </w:r>
    <w:r w:rsidR="009E644F" w:rsidRPr="008354B6">
      <w:rPr>
        <w:rFonts w:ascii="Arial" w:hAnsi="Arial" w:cs="Arial"/>
        <w:sz w:val="22"/>
        <w:lang w:val="en-US"/>
      </w:rPr>
      <w:t xml:space="preserve">                      mirseminarov.com              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05" w:rsidRDefault="00526505" w:rsidP="00154D2E">
      <w:r>
        <w:separator/>
      </w:r>
    </w:p>
  </w:footnote>
  <w:footnote w:type="continuationSeparator" w:id="0">
    <w:p w:rsidR="00526505" w:rsidRDefault="00526505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ED59ED" w:rsidRDefault="009E644F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7"/>
  </w:num>
  <w:num w:numId="5">
    <w:abstractNumId w:val="10"/>
  </w:num>
  <w:num w:numId="6">
    <w:abstractNumId w:val="22"/>
  </w:num>
  <w:num w:numId="7">
    <w:abstractNumId w:val="33"/>
  </w:num>
  <w:num w:numId="8">
    <w:abstractNumId w:val="25"/>
  </w:num>
  <w:num w:numId="9">
    <w:abstractNumId w:val="31"/>
  </w:num>
  <w:num w:numId="10">
    <w:abstractNumId w:val="11"/>
  </w:num>
  <w:num w:numId="11">
    <w:abstractNumId w:val="4"/>
  </w:num>
  <w:num w:numId="12">
    <w:abstractNumId w:val="16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13"/>
  </w:num>
  <w:num w:numId="19">
    <w:abstractNumId w:val="27"/>
  </w:num>
  <w:num w:numId="20">
    <w:abstractNumId w:val="3"/>
  </w:num>
  <w:num w:numId="21">
    <w:abstractNumId w:val="1"/>
  </w:num>
  <w:num w:numId="22">
    <w:abstractNumId w:val="8"/>
  </w:num>
  <w:num w:numId="23">
    <w:abstractNumId w:val="30"/>
  </w:num>
  <w:num w:numId="24">
    <w:abstractNumId w:val="28"/>
  </w:num>
  <w:num w:numId="25">
    <w:abstractNumId w:val="9"/>
  </w:num>
  <w:num w:numId="26">
    <w:abstractNumId w:val="5"/>
  </w:num>
  <w:num w:numId="27">
    <w:abstractNumId w:val="23"/>
  </w:num>
  <w:num w:numId="28">
    <w:abstractNumId w:val="32"/>
  </w:num>
  <w:num w:numId="29">
    <w:abstractNumId w:val="15"/>
  </w:num>
  <w:num w:numId="30">
    <w:abstractNumId w:val="0"/>
  </w:num>
  <w:num w:numId="31">
    <w:abstractNumId w:val="17"/>
  </w:num>
  <w:num w:numId="32">
    <w:abstractNumId w:val="6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0011D"/>
    <w:rsid w:val="000132B4"/>
    <w:rsid w:val="00027A31"/>
    <w:rsid w:val="000432B0"/>
    <w:rsid w:val="00055E82"/>
    <w:rsid w:val="0008652D"/>
    <w:rsid w:val="000E6659"/>
    <w:rsid w:val="00106855"/>
    <w:rsid w:val="00110560"/>
    <w:rsid w:val="00117E3E"/>
    <w:rsid w:val="001310A4"/>
    <w:rsid w:val="0013737D"/>
    <w:rsid w:val="00154687"/>
    <w:rsid w:val="00154D2E"/>
    <w:rsid w:val="00167138"/>
    <w:rsid w:val="001A535A"/>
    <w:rsid w:val="00260D48"/>
    <w:rsid w:val="00284690"/>
    <w:rsid w:val="002D35B5"/>
    <w:rsid w:val="002E072B"/>
    <w:rsid w:val="00330EC2"/>
    <w:rsid w:val="00352EAC"/>
    <w:rsid w:val="00360D35"/>
    <w:rsid w:val="00365506"/>
    <w:rsid w:val="00377AE4"/>
    <w:rsid w:val="00385471"/>
    <w:rsid w:val="003B404A"/>
    <w:rsid w:val="003B689A"/>
    <w:rsid w:val="003C0C80"/>
    <w:rsid w:val="003D0DCD"/>
    <w:rsid w:val="004161C7"/>
    <w:rsid w:val="0045329B"/>
    <w:rsid w:val="00472BAB"/>
    <w:rsid w:val="004D7BCD"/>
    <w:rsid w:val="004E5483"/>
    <w:rsid w:val="00526505"/>
    <w:rsid w:val="005349CA"/>
    <w:rsid w:val="00561E63"/>
    <w:rsid w:val="0059772A"/>
    <w:rsid w:val="005C0CDE"/>
    <w:rsid w:val="005E70EB"/>
    <w:rsid w:val="00601AB5"/>
    <w:rsid w:val="00606FA0"/>
    <w:rsid w:val="0064363E"/>
    <w:rsid w:val="006462A2"/>
    <w:rsid w:val="00663C33"/>
    <w:rsid w:val="0067364E"/>
    <w:rsid w:val="0067395D"/>
    <w:rsid w:val="006770D7"/>
    <w:rsid w:val="006808AB"/>
    <w:rsid w:val="006C0B7E"/>
    <w:rsid w:val="006D495C"/>
    <w:rsid w:val="006E6A91"/>
    <w:rsid w:val="006F27FC"/>
    <w:rsid w:val="006F781B"/>
    <w:rsid w:val="00702FC3"/>
    <w:rsid w:val="00773404"/>
    <w:rsid w:val="007836D6"/>
    <w:rsid w:val="00792332"/>
    <w:rsid w:val="007E2BF6"/>
    <w:rsid w:val="007E306B"/>
    <w:rsid w:val="007F7721"/>
    <w:rsid w:val="00801E7A"/>
    <w:rsid w:val="00823267"/>
    <w:rsid w:val="0082712C"/>
    <w:rsid w:val="008279E0"/>
    <w:rsid w:val="008354B6"/>
    <w:rsid w:val="00850FBC"/>
    <w:rsid w:val="00852B52"/>
    <w:rsid w:val="00877FED"/>
    <w:rsid w:val="008E480C"/>
    <w:rsid w:val="00957FE0"/>
    <w:rsid w:val="009631F3"/>
    <w:rsid w:val="009830F1"/>
    <w:rsid w:val="00992F49"/>
    <w:rsid w:val="009D1AB4"/>
    <w:rsid w:val="009E644F"/>
    <w:rsid w:val="009F6478"/>
    <w:rsid w:val="00A16875"/>
    <w:rsid w:val="00A301E4"/>
    <w:rsid w:val="00A367F4"/>
    <w:rsid w:val="00A413AC"/>
    <w:rsid w:val="00A82B70"/>
    <w:rsid w:val="00AE21C3"/>
    <w:rsid w:val="00B02A16"/>
    <w:rsid w:val="00B31F7A"/>
    <w:rsid w:val="00B42868"/>
    <w:rsid w:val="00B60567"/>
    <w:rsid w:val="00B6352A"/>
    <w:rsid w:val="00B868EF"/>
    <w:rsid w:val="00B9280A"/>
    <w:rsid w:val="00BA71C1"/>
    <w:rsid w:val="00BC1AE7"/>
    <w:rsid w:val="00BC1EAF"/>
    <w:rsid w:val="00BD2762"/>
    <w:rsid w:val="00BE4216"/>
    <w:rsid w:val="00C27238"/>
    <w:rsid w:val="00C32D44"/>
    <w:rsid w:val="00C646C2"/>
    <w:rsid w:val="00CB592E"/>
    <w:rsid w:val="00D0383A"/>
    <w:rsid w:val="00D14EDC"/>
    <w:rsid w:val="00D4227E"/>
    <w:rsid w:val="00D44F4F"/>
    <w:rsid w:val="00D549D5"/>
    <w:rsid w:val="00D77A48"/>
    <w:rsid w:val="00DB7685"/>
    <w:rsid w:val="00DC12E8"/>
    <w:rsid w:val="00DE53B6"/>
    <w:rsid w:val="00E171E4"/>
    <w:rsid w:val="00E245FF"/>
    <w:rsid w:val="00E33243"/>
    <w:rsid w:val="00E575B1"/>
    <w:rsid w:val="00E80DD9"/>
    <w:rsid w:val="00E94E7A"/>
    <w:rsid w:val="00EB7205"/>
    <w:rsid w:val="00EC7B66"/>
    <w:rsid w:val="00ED59ED"/>
    <w:rsid w:val="00ED5CA2"/>
    <w:rsid w:val="00F11E5A"/>
    <w:rsid w:val="00F12CCB"/>
    <w:rsid w:val="00F131BE"/>
    <w:rsid w:val="00F14B0D"/>
    <w:rsid w:val="00F15FD1"/>
    <w:rsid w:val="00F27FDD"/>
    <w:rsid w:val="00F4204A"/>
    <w:rsid w:val="00F755F8"/>
    <w:rsid w:val="00FA3CE7"/>
    <w:rsid w:val="00FD57B4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52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52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076F-6E17-4D06-8353-F1270D7E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Q</cp:lastModifiedBy>
  <cp:revision>15</cp:revision>
  <dcterms:created xsi:type="dcterms:W3CDTF">2016-12-20T13:42:00Z</dcterms:created>
  <dcterms:modified xsi:type="dcterms:W3CDTF">2018-04-13T08:35:00Z</dcterms:modified>
</cp:coreProperties>
</file>