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56" w:tblpY="-510"/>
        <w:tblW w:w="105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3"/>
        <w:gridCol w:w="5241"/>
        <w:gridCol w:w="2711"/>
      </w:tblGrid>
      <w:tr w:rsidR="007A71E3" w:rsidTr="00AC75D2">
        <w:trPr>
          <w:trHeight w:val="1979"/>
        </w:trPr>
        <w:tc>
          <w:tcPr>
            <w:tcW w:w="2623" w:type="dxa"/>
          </w:tcPr>
          <w:p w:rsidR="007A71E3" w:rsidRDefault="007A71E3" w:rsidP="00AC75D2">
            <w:pPr>
              <w:pStyle w:val="a8"/>
              <w:snapToGrid w:val="0"/>
              <w:ind w:left="9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9057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:rsidR="007A71E3" w:rsidRPr="0097780A" w:rsidRDefault="007A71E3" w:rsidP="00AC75D2">
            <w:pPr>
              <w:pStyle w:val="a8"/>
              <w:snapToGrid w:val="0"/>
              <w:ind w:right="135"/>
              <w:jc w:val="right"/>
              <w:rPr>
                <w:szCs w:val="20"/>
              </w:rPr>
            </w:pPr>
            <w:r w:rsidRPr="0097780A">
              <w:rPr>
                <w:szCs w:val="20"/>
              </w:rPr>
              <w:t>ОБЩЕСТВО С ОГРАНИЧЕННОЙ ОТВЕТСТВЕННОСТЬЮ</w:t>
            </w:r>
          </w:p>
          <w:p w:rsidR="007A71E3" w:rsidRPr="0097780A" w:rsidRDefault="007A71E3" w:rsidP="00AC75D2">
            <w:pPr>
              <w:pStyle w:val="a8"/>
              <w:snapToGrid w:val="0"/>
              <w:ind w:right="135"/>
              <w:jc w:val="right"/>
              <w:rPr>
                <w:b/>
                <w:bCs/>
                <w:szCs w:val="20"/>
              </w:rPr>
            </w:pPr>
            <w:r w:rsidRPr="0097780A">
              <w:rPr>
                <w:b/>
                <w:bCs/>
                <w:szCs w:val="20"/>
              </w:rPr>
              <w:t>«</w:t>
            </w:r>
            <w:r>
              <w:rPr>
                <w:b/>
                <w:bCs/>
                <w:szCs w:val="20"/>
              </w:rPr>
              <w:t>ИПР</w:t>
            </w:r>
            <w:r w:rsidRPr="0097780A">
              <w:rPr>
                <w:b/>
                <w:bCs/>
                <w:szCs w:val="20"/>
              </w:rPr>
              <w:t>-Проект»</w:t>
            </w:r>
          </w:p>
          <w:p w:rsidR="007A71E3" w:rsidRPr="0097780A" w:rsidRDefault="007A71E3" w:rsidP="00AC75D2">
            <w:pPr>
              <w:pStyle w:val="a8"/>
              <w:ind w:right="300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2711" w:type="dxa"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A71E3" w:rsidRPr="0097780A" w:rsidRDefault="007A71E3" w:rsidP="00AC75D2">
            <w:pPr>
              <w:pStyle w:val="a8"/>
              <w:snapToGrid w:val="0"/>
              <w:ind w:left="122" w:right="2"/>
              <w:rPr>
                <w:b/>
                <w:szCs w:val="20"/>
              </w:rPr>
            </w:pPr>
            <w:r w:rsidRPr="0097780A">
              <w:rPr>
                <w:b/>
                <w:szCs w:val="20"/>
              </w:rPr>
              <w:t>адрес:</w:t>
            </w:r>
          </w:p>
          <w:p w:rsidR="00E45B86" w:rsidRDefault="00E45B86" w:rsidP="00E45B86">
            <w:pPr>
              <w:pStyle w:val="a8"/>
              <w:ind w:left="122" w:right="2"/>
              <w:rPr>
                <w:szCs w:val="20"/>
              </w:rPr>
            </w:pPr>
            <w:r>
              <w:rPr>
                <w:szCs w:val="20"/>
              </w:rPr>
              <w:t>г. Москва,</w:t>
            </w:r>
          </w:p>
          <w:p w:rsidR="00E45B86" w:rsidRDefault="00E45B86" w:rsidP="00E45B86">
            <w:pPr>
              <w:pStyle w:val="a8"/>
              <w:ind w:left="122" w:right="2"/>
              <w:rPr>
                <w:szCs w:val="20"/>
              </w:rPr>
            </w:pPr>
            <w:r>
              <w:rPr>
                <w:szCs w:val="20"/>
              </w:rPr>
              <w:t>ул. 1-ый Щипковский пер., дом 4. Офисы  401, 402.</w:t>
            </w:r>
          </w:p>
          <w:p w:rsidR="00E45B86" w:rsidRDefault="00E45B86" w:rsidP="00E45B86">
            <w:pPr>
              <w:pStyle w:val="a8"/>
              <w:ind w:left="122" w:right="2"/>
              <w:rPr>
                <w:rFonts w:eastAsia="GulimChe"/>
                <w:b/>
                <w:bCs/>
                <w:szCs w:val="20"/>
              </w:rPr>
            </w:pPr>
            <w:r>
              <w:rPr>
                <w:bCs/>
                <w:szCs w:val="20"/>
              </w:rPr>
              <w:t>т./ф.: /495/</w:t>
            </w:r>
            <w:r>
              <w:rPr>
                <w:b/>
                <w:bCs/>
                <w:szCs w:val="20"/>
              </w:rPr>
              <w:t xml:space="preserve"> 737-3419</w:t>
            </w:r>
          </w:p>
          <w:p w:rsidR="007A71E3" w:rsidRPr="0097780A" w:rsidRDefault="00E45B86" w:rsidP="00E45B86">
            <w:pPr>
              <w:pStyle w:val="a8"/>
              <w:ind w:left="122" w:right="2"/>
              <w:rPr>
                <w:rFonts w:eastAsia="GulimChe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</w:t>
            </w:r>
          </w:p>
        </w:tc>
      </w:tr>
    </w:tbl>
    <w:p w:rsidR="007A71E3" w:rsidRDefault="007A71E3" w:rsidP="00CC787C">
      <w:pPr>
        <w:spacing w:after="0" w:line="240" w:lineRule="auto"/>
        <w:ind w:firstLine="567"/>
        <w:jc w:val="both"/>
        <w:rPr>
          <w:rFonts w:eastAsia="Times New Roman" w:cs="Arial"/>
          <w:b/>
          <w:color w:val="000000"/>
        </w:rPr>
      </w:pP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 xml:space="preserve">В портфеле выполненных проектов: 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объекты малоэтажной застройки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медицинские учреждения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физкультурно-оздоровительные комплексы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промышленные и складские объекты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канализационные очистные сооружения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внешние инженерные сети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офисные здания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>- социальные и культурные объекты</w:t>
      </w:r>
    </w:p>
    <w:p w:rsidR="00CC787C" w:rsidRDefault="00CC787C" w:rsidP="00CC787C">
      <w:pPr>
        <w:spacing w:after="0" w:line="240" w:lineRule="auto"/>
        <w:ind w:firstLine="567"/>
        <w:jc w:val="both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</w:rPr>
        <w:t xml:space="preserve">- объекты транспортной инфраструктуры </w:t>
      </w:r>
    </w:p>
    <w:p w:rsidR="00CC787C" w:rsidRDefault="00CC787C" w:rsidP="003C7E1E">
      <w:pPr>
        <w:rPr>
          <w:b/>
        </w:rPr>
      </w:pPr>
    </w:p>
    <w:p w:rsidR="00CC787C" w:rsidRPr="00FC36A1" w:rsidRDefault="004629FB" w:rsidP="003C7E1E">
      <w:pPr>
        <w:pStyle w:val="a3"/>
        <w:numPr>
          <w:ilvl w:val="0"/>
          <w:numId w:val="1"/>
        </w:numPr>
        <w:rPr>
          <w:b/>
          <w:color w:val="365F91" w:themeColor="accent1" w:themeShade="BF"/>
        </w:rPr>
      </w:pPr>
      <w:r w:rsidRPr="00FC36A1">
        <w:rPr>
          <w:b/>
          <w:color w:val="365F91" w:themeColor="accent1" w:themeShade="BF"/>
        </w:rPr>
        <w:t>ОБЪЕКТЫ МНОГОЭТАЖНОЙ ЗАСТРОЙКИ.</w:t>
      </w:r>
    </w:p>
    <w:p w:rsidR="00CC787C" w:rsidRDefault="00242E69" w:rsidP="00CC787C">
      <w:pPr>
        <w:pStyle w:val="a3"/>
        <w:rPr>
          <w:b/>
        </w:rPr>
      </w:pPr>
      <w:r>
        <w:rPr>
          <w:b/>
        </w:rPr>
        <w:t xml:space="preserve">- </w:t>
      </w:r>
      <w:r w:rsidR="00CC787C">
        <w:rPr>
          <w:b/>
        </w:rPr>
        <w:t>Жилые районы:</w:t>
      </w:r>
    </w:p>
    <w:p w:rsidR="003F50E8" w:rsidRPr="003F50E8" w:rsidRDefault="003F50E8" w:rsidP="003F50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F50E8">
        <w:rPr>
          <w:rFonts w:ascii="Arial" w:hAnsi="Arial" w:cs="Arial"/>
          <w:b/>
          <w:sz w:val="20"/>
          <w:szCs w:val="20"/>
        </w:rPr>
        <w:t>Жилой район пос. Кубинка (Московская обл.):</w:t>
      </w:r>
      <w:r w:rsidRPr="003F50E8">
        <w:rPr>
          <w:rFonts w:ascii="Arial" w:hAnsi="Arial" w:cs="Arial"/>
          <w:sz w:val="20"/>
          <w:szCs w:val="20"/>
        </w:rPr>
        <w:t xml:space="preserve"> жилая застройка общей площадью 54 га для обеспечения служебным жи</w:t>
      </w:r>
      <w:r w:rsidR="00F55A29">
        <w:rPr>
          <w:rFonts w:ascii="Arial" w:hAnsi="Arial" w:cs="Arial"/>
          <w:sz w:val="20"/>
          <w:szCs w:val="20"/>
        </w:rPr>
        <w:t>льем военнослужащих -</w:t>
      </w:r>
      <w:r w:rsidRPr="003F50E8">
        <w:rPr>
          <w:rFonts w:ascii="Arial" w:hAnsi="Arial" w:cs="Arial"/>
          <w:sz w:val="20"/>
          <w:szCs w:val="20"/>
        </w:rPr>
        <w:t xml:space="preserve"> 5 жилых домов 15-16 этажей и площадью жилых помещений 47,5 тыс.м</w:t>
      </w:r>
      <w:proofErr w:type="gramStart"/>
      <w:r w:rsidRPr="003F50E8">
        <w:rPr>
          <w:rFonts w:ascii="Arial" w:hAnsi="Arial" w:cs="Arial"/>
          <w:sz w:val="20"/>
          <w:szCs w:val="20"/>
        </w:rPr>
        <w:t>2</w:t>
      </w:r>
      <w:proofErr w:type="gramEnd"/>
      <w:r w:rsidRPr="003F50E8">
        <w:rPr>
          <w:rFonts w:ascii="Arial" w:hAnsi="Arial" w:cs="Arial"/>
          <w:sz w:val="20"/>
          <w:szCs w:val="20"/>
        </w:rPr>
        <w:t xml:space="preserve">. Район рассчитан на проживание 2296 человек. </w:t>
      </w:r>
    </w:p>
    <w:p w:rsidR="003F50E8" w:rsidRDefault="003F50E8" w:rsidP="002B1AE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C787C" w:rsidRDefault="00CC787C" w:rsidP="002B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Жилой район Хутор (г. Екатеринбург): 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Pr="00F6736B">
        <w:rPr>
          <w:rFonts w:ascii="Arial" w:hAnsi="Arial" w:cs="Arial"/>
          <w:color w:val="000000"/>
          <w:sz w:val="20"/>
          <w:szCs w:val="20"/>
        </w:rPr>
        <w:t>бщая площадь проработки проекта планировки составляет порядка 365га.</w:t>
      </w:r>
      <w:r>
        <w:rPr>
          <w:rFonts w:ascii="Arial" w:hAnsi="Arial" w:cs="Arial"/>
          <w:color w:val="000000"/>
          <w:sz w:val="20"/>
          <w:szCs w:val="20"/>
        </w:rPr>
        <w:t xml:space="preserve"> Район рассчитан на проживание </w:t>
      </w:r>
      <w:r w:rsidRPr="00F6736B">
        <w:rPr>
          <w:rFonts w:ascii="Arial" w:hAnsi="Arial" w:cs="Arial"/>
          <w:color w:val="000000"/>
          <w:sz w:val="20"/>
          <w:szCs w:val="20"/>
        </w:rPr>
        <w:t>49 000 человек.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36B">
        <w:rPr>
          <w:rFonts w:ascii="Arial" w:hAnsi="Arial" w:cs="Arial"/>
          <w:color w:val="000000"/>
          <w:sz w:val="20"/>
          <w:szCs w:val="20"/>
        </w:rPr>
        <w:t>Проектом предусматривается размещение жилой застройки на площади около 280 га в виде</w:t>
      </w:r>
      <w:r w:rsidRPr="00F6736B">
        <w:rPr>
          <w:rFonts w:ascii="Arial" w:hAnsi="Arial" w:cs="Arial"/>
          <w:sz w:val="20"/>
          <w:szCs w:val="20"/>
        </w:rPr>
        <w:t xml:space="preserve"> домов переменной этажности 5-16 этажей, сформированных в несколько типов блоков.</w:t>
      </w:r>
    </w:p>
    <w:p w:rsidR="00314187" w:rsidRDefault="00CC787C" w:rsidP="003141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C787C">
        <w:rPr>
          <w:rFonts w:ascii="Arial" w:hAnsi="Arial" w:cs="Arial"/>
          <w:b/>
          <w:sz w:val="20"/>
          <w:szCs w:val="20"/>
        </w:rPr>
        <w:t xml:space="preserve">Жилой район в поселке «Фабрики имени 1 мая» </w:t>
      </w:r>
      <w:proofErr w:type="gramStart"/>
      <w:r w:rsidRPr="00CC787C">
        <w:rPr>
          <w:rFonts w:ascii="Arial" w:hAnsi="Arial" w:cs="Arial"/>
          <w:b/>
          <w:sz w:val="20"/>
          <w:szCs w:val="20"/>
        </w:rPr>
        <w:t xml:space="preserve">( </w:t>
      </w:r>
      <w:proofErr w:type="gramEnd"/>
      <w:r w:rsidRPr="00CC787C">
        <w:rPr>
          <w:rFonts w:ascii="Arial" w:hAnsi="Arial" w:cs="Arial"/>
          <w:b/>
          <w:sz w:val="20"/>
          <w:szCs w:val="20"/>
        </w:rPr>
        <w:t>г. Подольск):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C787C">
        <w:rPr>
          <w:rFonts w:ascii="Arial" w:hAnsi="Arial" w:cs="Arial"/>
          <w:sz w:val="20"/>
          <w:szCs w:val="20"/>
        </w:rPr>
        <w:t>На участке проектирования площадью 72 га предусматривается размещение групп жилых домов разной этажности, а также школы, детского сада и многофункционального комплекса. Планируемый жилищный фонд составит 217,8 тыс.м</w:t>
      </w:r>
      <w:proofErr w:type="gramStart"/>
      <w:r w:rsidRPr="00CC787C">
        <w:rPr>
          <w:rFonts w:ascii="Arial" w:hAnsi="Arial" w:cs="Arial"/>
          <w:sz w:val="20"/>
          <w:szCs w:val="20"/>
        </w:rPr>
        <w:t>2</w:t>
      </w:r>
      <w:proofErr w:type="gramEnd"/>
      <w:r w:rsidRPr="00CC787C">
        <w:rPr>
          <w:rFonts w:ascii="Arial" w:hAnsi="Arial" w:cs="Arial"/>
          <w:sz w:val="20"/>
          <w:szCs w:val="20"/>
        </w:rPr>
        <w:t>. Район рассчитан на проживание 7,9 тыс</w:t>
      </w:r>
      <w:proofErr w:type="gramStart"/>
      <w:r w:rsidRPr="00CC787C">
        <w:rPr>
          <w:rFonts w:ascii="Arial" w:hAnsi="Arial" w:cs="Arial"/>
          <w:sz w:val="20"/>
          <w:szCs w:val="20"/>
        </w:rPr>
        <w:t>.ч</w:t>
      </w:r>
      <w:proofErr w:type="gramEnd"/>
      <w:r w:rsidRPr="00CC787C">
        <w:rPr>
          <w:rFonts w:ascii="Arial" w:hAnsi="Arial" w:cs="Arial"/>
          <w:sz w:val="20"/>
          <w:szCs w:val="20"/>
        </w:rPr>
        <w:t>ел.</w:t>
      </w:r>
    </w:p>
    <w:p w:rsidR="00CC787C" w:rsidRDefault="00CC787C" w:rsidP="002B1AEF">
      <w:pPr>
        <w:pStyle w:val="a3"/>
        <w:jc w:val="both"/>
        <w:rPr>
          <w:b/>
        </w:rPr>
      </w:pPr>
    </w:p>
    <w:p w:rsidR="00CC787C" w:rsidRDefault="00242E69" w:rsidP="002B1AEF">
      <w:pPr>
        <w:pStyle w:val="a3"/>
        <w:jc w:val="both"/>
        <w:rPr>
          <w:b/>
        </w:rPr>
      </w:pPr>
      <w:r>
        <w:rPr>
          <w:b/>
        </w:rPr>
        <w:t xml:space="preserve">- </w:t>
      </w:r>
      <w:r w:rsidR="00CC787C">
        <w:rPr>
          <w:b/>
        </w:rPr>
        <w:t>Жилые дома:</w:t>
      </w:r>
    </w:p>
    <w:p w:rsidR="00CC787C" w:rsidRDefault="00CC787C" w:rsidP="002B1A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 xml:space="preserve">Жилой комплекс в г. Красногорске </w:t>
      </w:r>
      <w:r w:rsidRPr="00CC787C">
        <w:t>состоит из двух 24-этажных домов на 396 квартир.</w:t>
      </w:r>
      <w:r>
        <w:rPr>
          <w:b/>
        </w:rPr>
        <w:t xml:space="preserve"> </w:t>
      </w:r>
      <w:r w:rsidRPr="001E1EE7">
        <w:rPr>
          <w:rFonts w:ascii="Arial" w:hAnsi="Arial" w:cs="Arial"/>
          <w:sz w:val="20"/>
          <w:szCs w:val="20"/>
        </w:rPr>
        <w:t xml:space="preserve">Площадь нежилых помещений – </w:t>
      </w:r>
      <w:r>
        <w:rPr>
          <w:rFonts w:ascii="Arial" w:hAnsi="Arial" w:cs="Arial"/>
          <w:sz w:val="20"/>
          <w:szCs w:val="20"/>
        </w:rPr>
        <w:t xml:space="preserve"> </w:t>
      </w:r>
      <w:r w:rsidRPr="001E1EE7">
        <w:rPr>
          <w:rFonts w:ascii="Arial" w:hAnsi="Arial" w:cs="Arial"/>
          <w:sz w:val="20"/>
          <w:szCs w:val="20"/>
        </w:rPr>
        <w:t>3500 м</w:t>
      </w:r>
      <w:proofErr w:type="gramStart"/>
      <w:r w:rsidRPr="001E1EE7">
        <w:rPr>
          <w:rFonts w:ascii="Arial" w:hAnsi="Arial" w:cs="Arial"/>
          <w:sz w:val="20"/>
          <w:szCs w:val="20"/>
        </w:rPr>
        <w:t>2</w:t>
      </w:r>
      <w:proofErr w:type="gramEnd"/>
      <w:r w:rsidRPr="001E1EE7">
        <w:rPr>
          <w:rFonts w:ascii="Arial" w:hAnsi="Arial" w:cs="Arial"/>
          <w:sz w:val="20"/>
          <w:szCs w:val="20"/>
        </w:rPr>
        <w:t>. Общая площадь гаражного комплекса – 4500 м</w:t>
      </w:r>
      <w:proofErr w:type="gramStart"/>
      <w:r w:rsidRPr="001E1EE7">
        <w:rPr>
          <w:rFonts w:ascii="Arial" w:hAnsi="Arial" w:cs="Arial"/>
          <w:sz w:val="20"/>
          <w:szCs w:val="20"/>
        </w:rPr>
        <w:t>2</w:t>
      </w:r>
      <w:proofErr w:type="gramEnd"/>
      <w:r w:rsidRPr="001E1EE7">
        <w:rPr>
          <w:rFonts w:ascii="Arial" w:hAnsi="Arial" w:cs="Arial"/>
          <w:sz w:val="20"/>
          <w:szCs w:val="20"/>
        </w:rPr>
        <w:t>. Площадь трехэтажного административного здания –2924</w:t>
      </w:r>
      <w:r>
        <w:rPr>
          <w:rFonts w:ascii="Arial" w:hAnsi="Arial" w:cs="Arial"/>
          <w:sz w:val="20"/>
          <w:szCs w:val="20"/>
        </w:rPr>
        <w:t xml:space="preserve"> </w:t>
      </w:r>
      <w:r w:rsidRPr="001E1EE7">
        <w:rPr>
          <w:rFonts w:ascii="Arial" w:hAnsi="Arial" w:cs="Arial"/>
          <w:sz w:val="20"/>
          <w:szCs w:val="20"/>
        </w:rPr>
        <w:t>м</w:t>
      </w:r>
      <w:proofErr w:type="gramStart"/>
      <w:r w:rsidRPr="001E1EE7">
        <w:rPr>
          <w:rFonts w:ascii="Arial" w:hAnsi="Arial" w:cs="Arial"/>
          <w:sz w:val="20"/>
          <w:szCs w:val="20"/>
        </w:rPr>
        <w:t>2</w:t>
      </w:r>
      <w:proofErr w:type="gramEnd"/>
      <w:r w:rsidRPr="001E1EE7">
        <w:rPr>
          <w:rFonts w:ascii="Arial" w:hAnsi="Arial" w:cs="Arial"/>
          <w:sz w:val="20"/>
          <w:szCs w:val="20"/>
        </w:rPr>
        <w:t>.</w:t>
      </w:r>
    </w:p>
    <w:p w:rsidR="00242E69" w:rsidRDefault="00CC787C" w:rsidP="002B1AEF">
      <w:pPr>
        <w:jc w:val="both"/>
        <w:rPr>
          <w:rFonts w:ascii="Arial" w:hAnsi="Arial" w:cs="Arial"/>
          <w:sz w:val="20"/>
          <w:szCs w:val="20"/>
        </w:rPr>
      </w:pPr>
      <w:r w:rsidRPr="00242E69">
        <w:rPr>
          <w:rFonts w:ascii="Arial" w:hAnsi="Arial" w:cs="Arial"/>
          <w:b/>
          <w:sz w:val="20"/>
          <w:szCs w:val="20"/>
        </w:rPr>
        <w:t>Жилой 24 этажный дом в г. Подольске</w:t>
      </w:r>
      <w:r w:rsidR="00242E69">
        <w:rPr>
          <w:rFonts w:ascii="Arial" w:hAnsi="Arial" w:cs="Arial"/>
          <w:sz w:val="20"/>
          <w:szCs w:val="20"/>
        </w:rPr>
        <w:t xml:space="preserve"> размещен на земельном участке 0,5 га. </w:t>
      </w:r>
      <w:r w:rsidR="00242E69" w:rsidRPr="00AC69F7">
        <w:rPr>
          <w:rFonts w:ascii="Arial" w:hAnsi="Arial" w:cs="Arial"/>
          <w:sz w:val="20"/>
          <w:szCs w:val="20"/>
        </w:rPr>
        <w:t>Площадь застройки составляет 3 768</w:t>
      </w:r>
      <w:r w:rsidR="00242E69">
        <w:rPr>
          <w:rFonts w:ascii="Arial" w:hAnsi="Arial" w:cs="Arial"/>
          <w:sz w:val="20"/>
          <w:szCs w:val="20"/>
        </w:rPr>
        <w:t xml:space="preserve"> кв.м. </w:t>
      </w:r>
      <w:r w:rsidR="00242E69" w:rsidRPr="00AC69F7">
        <w:rPr>
          <w:rFonts w:ascii="Arial" w:hAnsi="Arial" w:cs="Arial"/>
          <w:sz w:val="20"/>
          <w:szCs w:val="20"/>
        </w:rPr>
        <w:t>Дом рассчитан на 381 жителя, количество квартир – 207.</w:t>
      </w:r>
    </w:p>
    <w:p w:rsidR="00242E69" w:rsidRDefault="00242E69" w:rsidP="002B1AEF">
      <w:pPr>
        <w:jc w:val="both"/>
      </w:pPr>
      <w:r w:rsidRPr="00242E69">
        <w:rPr>
          <w:rFonts w:ascii="Arial" w:hAnsi="Arial" w:cs="Arial"/>
          <w:b/>
          <w:sz w:val="20"/>
          <w:szCs w:val="20"/>
        </w:rPr>
        <w:t>Жилой 5 секционный дом со встроенными нежилыми помещениями в п. фабрики им. 1 мая (Московская обл.)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55A29">
        <w:t>Данный дом стал</w:t>
      </w:r>
      <w:r>
        <w:t xml:space="preserve"> первым строением в комплексной застройке на набережной реки.</w:t>
      </w:r>
      <w:r w:rsidRPr="00242E69">
        <w:t xml:space="preserve"> </w:t>
      </w:r>
      <w:r w:rsidR="00F55A29">
        <w:t xml:space="preserve"> Общая площадь квартир превышает 10 000 м</w:t>
      </w:r>
      <w:proofErr w:type="gramStart"/>
      <w:r w:rsidR="00F55A29">
        <w:t>2</w:t>
      </w:r>
      <w:proofErr w:type="gramEnd"/>
      <w:r w:rsidR="00F55A29">
        <w:t xml:space="preserve"> , рассчитана</w:t>
      </w:r>
      <w:r>
        <w:t xml:space="preserve"> на 350  человек. </w:t>
      </w:r>
    </w:p>
    <w:p w:rsidR="00242E69" w:rsidRDefault="00242E69" w:rsidP="002B1AEF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cs="Arial"/>
          <w:color w:val="000000"/>
        </w:rPr>
      </w:pPr>
      <w:r w:rsidRPr="00242E69">
        <w:rPr>
          <w:rFonts w:ascii="Arial" w:hAnsi="Arial" w:cs="Arial"/>
          <w:b/>
          <w:sz w:val="20"/>
          <w:szCs w:val="20"/>
        </w:rPr>
        <w:t xml:space="preserve">Жилой </w:t>
      </w:r>
      <w:r>
        <w:rPr>
          <w:rFonts w:ascii="Arial" w:hAnsi="Arial" w:cs="Arial"/>
          <w:b/>
          <w:sz w:val="20"/>
          <w:szCs w:val="20"/>
        </w:rPr>
        <w:t>6</w:t>
      </w:r>
      <w:r w:rsidRPr="00242E69">
        <w:rPr>
          <w:rFonts w:ascii="Arial" w:hAnsi="Arial" w:cs="Arial"/>
          <w:b/>
          <w:sz w:val="20"/>
          <w:szCs w:val="20"/>
        </w:rPr>
        <w:t xml:space="preserve"> секционный дом со встроенно-пристроенными нежилыми</w:t>
      </w:r>
      <w:r>
        <w:rPr>
          <w:rFonts w:ascii="Arial" w:hAnsi="Arial" w:cs="Arial"/>
          <w:b/>
          <w:sz w:val="20"/>
          <w:szCs w:val="20"/>
        </w:rPr>
        <w:t xml:space="preserve"> помещениями в</w:t>
      </w:r>
      <w:r w:rsidRPr="00242E6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г. Подольске </w:t>
      </w:r>
      <w:r w:rsidRPr="00242E69">
        <w:rPr>
          <w:rFonts w:cs="Arial"/>
          <w:color w:val="000000"/>
        </w:rPr>
        <w:t>размещён на участке площадью порядка 1 га с обеспечением всех необходи</w:t>
      </w:r>
      <w:r>
        <w:rPr>
          <w:rFonts w:cs="Arial"/>
          <w:color w:val="000000"/>
        </w:rPr>
        <w:t xml:space="preserve">мых элементов благоустройства.  </w:t>
      </w:r>
      <w:r w:rsidRPr="00242E69">
        <w:rPr>
          <w:rFonts w:cs="Arial"/>
          <w:color w:val="000000"/>
        </w:rPr>
        <w:t xml:space="preserve">Объёмно-планировочные и архитектурно-художественные решения выполнены по </w:t>
      </w:r>
      <w:proofErr w:type="gramStart"/>
      <w:r w:rsidRPr="00242E69">
        <w:rPr>
          <w:rFonts w:cs="Arial"/>
          <w:color w:val="000000"/>
        </w:rPr>
        <w:t>индивидуальному проекту</w:t>
      </w:r>
      <w:proofErr w:type="gramEnd"/>
      <w:r w:rsidRPr="00242E69">
        <w:rPr>
          <w:rFonts w:cs="Arial"/>
          <w:color w:val="000000"/>
        </w:rPr>
        <w:t>. Жилищный фонд составит порядка 25 тысяч м</w:t>
      </w:r>
      <w:proofErr w:type="gramStart"/>
      <w:r w:rsidRPr="00242E69">
        <w:rPr>
          <w:rFonts w:cs="Arial"/>
          <w:color w:val="000000"/>
          <w:vertAlign w:val="superscript"/>
        </w:rPr>
        <w:t>2</w:t>
      </w:r>
      <w:proofErr w:type="gramEnd"/>
      <w:r w:rsidRPr="00242E69">
        <w:rPr>
          <w:rFonts w:cs="Arial"/>
          <w:color w:val="000000"/>
        </w:rPr>
        <w:t xml:space="preserve"> общей площади, количество жителей - 850 человек. </w:t>
      </w:r>
    </w:p>
    <w:p w:rsidR="00242E69" w:rsidRPr="00242E69" w:rsidRDefault="00242E69" w:rsidP="002B1AEF">
      <w:pPr>
        <w:spacing w:before="240"/>
        <w:jc w:val="both"/>
      </w:pPr>
      <w:r w:rsidRPr="00242E69">
        <w:rPr>
          <w:rFonts w:cs="Arial"/>
          <w:b/>
        </w:rPr>
        <w:lastRenderedPageBreak/>
        <w:t xml:space="preserve">Многоэтажный жилой дом с нежилыми помещениями на первом этаже и подземным паркингом в г. Екатеринбург, </w:t>
      </w:r>
      <w:r w:rsidRPr="00242E69">
        <w:rPr>
          <w:rFonts w:cs="Arial"/>
        </w:rPr>
        <w:t>площадь</w:t>
      </w:r>
      <w:r>
        <w:rPr>
          <w:rFonts w:cs="Arial"/>
        </w:rPr>
        <w:t xml:space="preserve"> </w:t>
      </w:r>
      <w:r w:rsidRPr="00242E69">
        <w:t>возводимого жилья составит не менее 9000 м</w:t>
      </w:r>
      <w:proofErr w:type="gramStart"/>
      <w:r w:rsidRPr="00242E69">
        <w:rPr>
          <w:vertAlign w:val="superscript"/>
        </w:rPr>
        <w:t>2</w:t>
      </w:r>
      <w:proofErr w:type="gramEnd"/>
      <w:r>
        <w:t>, расчетная численность населения 300 жителей. Класс возводимого жилья – эконом.</w:t>
      </w:r>
    </w:p>
    <w:p w:rsidR="00242E69" w:rsidRDefault="00242E69" w:rsidP="002B1A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A71E3" w:rsidRPr="00242E69" w:rsidRDefault="007A71E3" w:rsidP="002B1A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3C7E1E" w:rsidRPr="00FC36A1" w:rsidRDefault="004629FB" w:rsidP="002B1AEF">
      <w:pPr>
        <w:pStyle w:val="a3"/>
        <w:numPr>
          <w:ilvl w:val="0"/>
          <w:numId w:val="1"/>
        </w:numPr>
        <w:jc w:val="both"/>
        <w:rPr>
          <w:b/>
          <w:color w:val="365F91" w:themeColor="accent1" w:themeShade="BF"/>
        </w:rPr>
      </w:pPr>
      <w:r w:rsidRPr="00FC36A1">
        <w:rPr>
          <w:b/>
          <w:color w:val="365F91" w:themeColor="accent1" w:themeShade="BF"/>
        </w:rPr>
        <w:t>МАЛОЭТАЖНЫЕ ОБЪЕКТЫ:</w:t>
      </w:r>
    </w:p>
    <w:p w:rsidR="002B1AEF" w:rsidRPr="002B1AEF" w:rsidRDefault="002B1AEF" w:rsidP="002B1AEF">
      <w:pPr>
        <w:spacing w:after="0"/>
        <w:ind w:right="-255"/>
        <w:jc w:val="both"/>
        <w:rPr>
          <w:rFonts w:cs="Arial"/>
          <w:color w:val="000000"/>
        </w:rPr>
      </w:pPr>
      <w:r w:rsidRPr="002B1AEF">
        <w:rPr>
          <w:rFonts w:cs="Arial"/>
          <w:b/>
        </w:rPr>
        <w:t>Комплексная малоэтажная жилищная застройка «Южные горки»</w:t>
      </w: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(</w:t>
      </w:r>
      <w:r w:rsidRPr="002B1AEF">
        <w:rPr>
          <w:rFonts w:cs="Arial"/>
          <w:b/>
        </w:rPr>
        <w:t xml:space="preserve"> </w:t>
      </w:r>
      <w:proofErr w:type="gramEnd"/>
      <w:r w:rsidRPr="002B1AEF">
        <w:rPr>
          <w:rFonts w:cs="Arial"/>
          <w:b/>
        </w:rPr>
        <w:t xml:space="preserve">пос. </w:t>
      </w:r>
      <w:proofErr w:type="spellStart"/>
      <w:r w:rsidRPr="002B1AEF">
        <w:rPr>
          <w:rFonts w:cs="Arial"/>
          <w:b/>
        </w:rPr>
        <w:t>Мещерино</w:t>
      </w:r>
      <w:proofErr w:type="spellEnd"/>
      <w:r w:rsidRPr="002B1AEF">
        <w:rPr>
          <w:rFonts w:cs="Arial"/>
          <w:b/>
        </w:rPr>
        <w:t>,</w:t>
      </w:r>
      <w:r>
        <w:rPr>
          <w:rFonts w:cs="Arial"/>
          <w:b/>
        </w:rPr>
        <w:t xml:space="preserve"> Московская область) </w:t>
      </w:r>
      <w:r w:rsidRPr="002B1AEF">
        <w:rPr>
          <w:rFonts w:cs="Arial"/>
          <w:color w:val="000000"/>
        </w:rPr>
        <w:t xml:space="preserve">предусматривается строительство 3-х очередей на территории площадью 137,27 га.  Проектом предполагается строительство индивидуальных жилых домов, блокированных жилых домов, дуплексов, секционных многоквартирных домов, а так же строительство объектов социально-бытовой и инженерной инфраструктуры. Численность населения проектируемого микрорайона ориентировочно составит 6700 человек. </w:t>
      </w:r>
    </w:p>
    <w:p w:rsidR="002B1AEF" w:rsidRDefault="002B1AEF" w:rsidP="002B1AEF">
      <w:pPr>
        <w:spacing w:before="240" w:line="240" w:lineRule="auto"/>
        <w:jc w:val="both"/>
      </w:pPr>
      <w:r w:rsidRPr="002B1AEF">
        <w:rPr>
          <w:b/>
        </w:rPr>
        <w:t xml:space="preserve">Комплексная малоэтажная жилищная застройка, г. Обнинск, </w:t>
      </w:r>
      <w:r>
        <w:t>размеще</w:t>
      </w:r>
      <w:r w:rsidRPr="002B1AEF">
        <w:t xml:space="preserve">на территории 44,2 га. К застройке предлагаются несколько типов жилья - индивидуальные дома, дома блокированного типа и </w:t>
      </w:r>
      <w:proofErr w:type="spellStart"/>
      <w:r w:rsidRPr="002B1AEF">
        <w:t>многокваритирные</w:t>
      </w:r>
      <w:proofErr w:type="spellEnd"/>
      <w:r w:rsidRPr="002B1AEF">
        <w:t xml:space="preserve"> дома</w:t>
      </w:r>
      <w:r>
        <w:t>.</w:t>
      </w:r>
    </w:p>
    <w:p w:rsidR="002B1AEF" w:rsidRPr="002B1AEF" w:rsidRDefault="002B1AEF" w:rsidP="002B1AEF">
      <w:pPr>
        <w:autoSpaceDE w:val="0"/>
        <w:autoSpaceDN w:val="0"/>
        <w:adjustRightInd w:val="0"/>
        <w:spacing w:after="0"/>
        <w:jc w:val="both"/>
      </w:pPr>
      <w:r w:rsidRPr="002B1AEF">
        <w:rPr>
          <w:rFonts w:cs="ISOCPEUR"/>
          <w:b/>
          <w:color w:val="000000"/>
        </w:rPr>
        <w:t xml:space="preserve">Комплексная застройка жилого района "Новая земля", г. Березовский,  </w:t>
      </w:r>
      <w:r w:rsidRPr="002B1AEF">
        <w:rPr>
          <w:rFonts w:cs="ISOCPEUR"/>
          <w:color w:val="000000"/>
        </w:rPr>
        <w:t xml:space="preserve">предполагает размещение на территории в 129,15 га. </w:t>
      </w:r>
      <w:r w:rsidRPr="002B1AEF">
        <w:t xml:space="preserve">В границах проектируемого участка предусмотрено размещение </w:t>
      </w:r>
      <w:proofErr w:type="spellStart"/>
      <w:r w:rsidRPr="002B1AEF">
        <w:t>разноэтажной</w:t>
      </w:r>
      <w:proofErr w:type="spellEnd"/>
      <w:r w:rsidRPr="002B1AEF">
        <w:t xml:space="preserve"> (до 5 этажей) жилой застройки, объектов социального и культурного обслуживания, включая школу, детские сады, торговые предприятия, объекты дорожной, транспортной и инженерной инфраструктур. </w:t>
      </w:r>
      <w:r>
        <w:t xml:space="preserve"> </w:t>
      </w:r>
      <w:r w:rsidRPr="002B1AEF">
        <w:t>Жилищный фонд района составит  порядка 350 тыс. м</w:t>
      </w:r>
      <w:proofErr w:type="gramStart"/>
      <w:r w:rsidRPr="002B1AEF">
        <w:rPr>
          <w:vertAlign w:val="superscript"/>
        </w:rPr>
        <w:t>2</w:t>
      </w:r>
      <w:proofErr w:type="gramEnd"/>
      <w:r w:rsidRPr="002B1AEF">
        <w:t xml:space="preserve"> общей площади </w:t>
      </w:r>
      <w:r>
        <w:t xml:space="preserve">рассчитанный на </w:t>
      </w:r>
      <w:r w:rsidRPr="002B1AEF">
        <w:t xml:space="preserve"> 11</w:t>
      </w:r>
      <w:r>
        <w:t xml:space="preserve"> </w:t>
      </w:r>
      <w:r w:rsidRPr="002B1AEF">
        <w:t xml:space="preserve">480 человек. </w:t>
      </w:r>
    </w:p>
    <w:p w:rsidR="002B1AEF" w:rsidRDefault="002B1AEF" w:rsidP="002B1AEF">
      <w:pPr>
        <w:autoSpaceDE w:val="0"/>
        <w:autoSpaceDN w:val="0"/>
        <w:adjustRightInd w:val="0"/>
        <w:spacing w:before="240" w:after="0"/>
        <w:jc w:val="both"/>
        <w:rPr>
          <w:rFonts w:cs="Arial"/>
          <w:sz w:val="24"/>
          <w:szCs w:val="24"/>
        </w:rPr>
      </w:pPr>
      <w:r w:rsidRPr="002B1AEF">
        <w:rPr>
          <w:rFonts w:cs="ISOCPEUR"/>
          <w:b/>
          <w:color w:val="000000"/>
        </w:rPr>
        <w:t xml:space="preserve">Жилой микрорайон, г. Троицк, </w:t>
      </w:r>
      <w:r>
        <w:rPr>
          <w:rFonts w:cs="ISOCPEUR"/>
          <w:b/>
          <w:color w:val="000000"/>
        </w:rPr>
        <w:t>(</w:t>
      </w:r>
      <w:proofErr w:type="gramStart"/>
      <w:r>
        <w:rPr>
          <w:rFonts w:cs="ISOCPEUR"/>
          <w:b/>
          <w:color w:val="000000"/>
        </w:rPr>
        <w:t>М</w:t>
      </w:r>
      <w:r w:rsidRPr="002B1AEF">
        <w:rPr>
          <w:rFonts w:cs="ISOCPEUR"/>
          <w:b/>
          <w:color w:val="000000"/>
        </w:rPr>
        <w:t>осковская</w:t>
      </w:r>
      <w:proofErr w:type="gramEnd"/>
      <w:r w:rsidRPr="002B1AEF">
        <w:rPr>
          <w:rFonts w:cs="ISOCPEUR"/>
          <w:b/>
          <w:color w:val="000000"/>
        </w:rPr>
        <w:t xml:space="preserve"> обл.</w:t>
      </w:r>
      <w:r>
        <w:rPr>
          <w:rFonts w:cs="ISOCPEUR"/>
          <w:b/>
          <w:color w:val="000000"/>
        </w:rPr>
        <w:t>)</w:t>
      </w:r>
      <w:r w:rsidRPr="002B1AEF">
        <w:rPr>
          <w:rFonts w:cs="ISOCPEUR"/>
          <w:b/>
          <w:color w:val="000000"/>
        </w:rPr>
        <w:t xml:space="preserve"> </w:t>
      </w:r>
      <w:r w:rsidRPr="002B1AEF">
        <w:rPr>
          <w:rFonts w:cs="ISOCPEUR"/>
          <w:color w:val="000000"/>
        </w:rPr>
        <w:t>расположенного на территории 1,3 га. Проектом предполагается строительство 6 многоквартирных домов, рассчитанных на прожи</w:t>
      </w:r>
      <w:r w:rsidRPr="002B1AEF">
        <w:rPr>
          <w:rFonts w:cs="Arial"/>
          <w:sz w:val="24"/>
          <w:szCs w:val="24"/>
        </w:rPr>
        <w:t>вание 243 человек.</w:t>
      </w:r>
    </w:p>
    <w:p w:rsidR="002B1AEF" w:rsidRDefault="002B1AEF" w:rsidP="002B1AEF">
      <w:pPr>
        <w:spacing w:before="240"/>
        <w:jc w:val="both"/>
      </w:pPr>
      <w:r w:rsidRPr="002B1AEF">
        <w:rPr>
          <w:rFonts w:cs="ISOCPEUR"/>
          <w:b/>
          <w:color w:val="000000"/>
        </w:rPr>
        <w:t xml:space="preserve">Комплексная малоэтажная жилищная застройка, </w:t>
      </w:r>
      <w:r>
        <w:rPr>
          <w:rFonts w:cs="ISOCPEUR"/>
          <w:b/>
          <w:color w:val="000000"/>
        </w:rPr>
        <w:t xml:space="preserve">д. Мужачи (Калужская обл.) </w:t>
      </w:r>
      <w:r w:rsidRPr="002B1AEF">
        <w:rPr>
          <w:rFonts w:cs="ISOCPEUR"/>
          <w:color w:val="000000"/>
        </w:rPr>
        <w:t xml:space="preserve">размещена  </w:t>
      </w:r>
      <w:r w:rsidRPr="002B1AEF">
        <w:t xml:space="preserve">на территории общей площадью 186 га. Проект предполагает строительство 1800 домов, 150 таунхаусов, 198 квартир в малоквартирных домах и предназначен для проживания более 5000 человек. </w:t>
      </w:r>
      <w:r>
        <w:t>Проектом предусмотрены шк</w:t>
      </w:r>
      <w:r w:rsidRPr="002B1AEF">
        <w:t xml:space="preserve">ола, детский сад, торговые и обслуживающие сервисные предприятия, зоны отдыха и развлечений. </w:t>
      </w:r>
    </w:p>
    <w:p w:rsidR="002B1AEF" w:rsidRPr="00494B1D" w:rsidRDefault="002B1AEF" w:rsidP="002B1AEF">
      <w:pPr>
        <w:jc w:val="both"/>
        <w:rPr>
          <w:rFonts w:cs="ISOCPEUR"/>
          <w:b/>
          <w:color w:val="000000"/>
        </w:rPr>
      </w:pPr>
      <w:r w:rsidRPr="002B1AEF">
        <w:rPr>
          <w:rFonts w:cs="ISOCPEUR"/>
          <w:b/>
          <w:color w:val="000000"/>
        </w:rPr>
        <w:t xml:space="preserve">Коттеджный поселок «Черничные поля», </w:t>
      </w:r>
      <w:r>
        <w:rPr>
          <w:rFonts w:cs="ISOCPEUR"/>
          <w:b/>
          <w:color w:val="000000"/>
        </w:rPr>
        <w:t xml:space="preserve"> </w:t>
      </w:r>
      <w:proofErr w:type="spellStart"/>
      <w:r w:rsidRPr="002B1AEF">
        <w:rPr>
          <w:rFonts w:cs="ISOCPEUR"/>
          <w:b/>
          <w:color w:val="000000"/>
        </w:rPr>
        <w:t>Наро</w:t>
      </w:r>
      <w:proofErr w:type="spellEnd"/>
      <w:r w:rsidRPr="002B1AEF">
        <w:rPr>
          <w:rFonts w:cs="ISOCPEUR"/>
          <w:b/>
          <w:color w:val="000000"/>
        </w:rPr>
        <w:t xml:space="preserve"> - </w:t>
      </w:r>
      <w:proofErr w:type="spellStart"/>
      <w:r w:rsidRPr="002B1AEF">
        <w:rPr>
          <w:rFonts w:cs="ISOCPEUR"/>
          <w:b/>
          <w:color w:val="000000"/>
        </w:rPr>
        <w:t>Фоминский</w:t>
      </w:r>
      <w:proofErr w:type="spellEnd"/>
      <w:r w:rsidRPr="002B1AEF">
        <w:rPr>
          <w:rFonts w:cs="ISOCPEUR"/>
          <w:b/>
          <w:color w:val="000000"/>
        </w:rPr>
        <w:t xml:space="preserve"> муниципальный район,</w:t>
      </w:r>
      <w:r w:rsidR="00494B1D" w:rsidRPr="00494B1D">
        <w:rPr>
          <w:rFonts w:cs="ISOCPEUR"/>
          <w:color w:val="000000"/>
        </w:rPr>
        <w:t xml:space="preserve"> размещен</w:t>
      </w:r>
      <w:r w:rsidR="00494B1D">
        <w:rPr>
          <w:rFonts w:cs="ISOCPEUR"/>
          <w:b/>
          <w:color w:val="000000"/>
        </w:rPr>
        <w:t xml:space="preserve"> </w:t>
      </w:r>
      <w:r w:rsidR="00494B1D" w:rsidRPr="00494B1D">
        <w:rPr>
          <w:rFonts w:cs="ISOCPEUR"/>
          <w:color w:val="000000"/>
        </w:rPr>
        <w:t>на площади</w:t>
      </w:r>
      <w:r w:rsidRPr="00494B1D">
        <w:rPr>
          <w:rFonts w:cs="ISOCPEUR"/>
          <w:color w:val="000000"/>
        </w:rPr>
        <w:t xml:space="preserve"> 27,</w:t>
      </w:r>
      <w:smartTag w:uri="urn:schemas-microsoft-com:office:smarttags" w:element="metricconverter">
        <w:smartTagPr>
          <w:attr w:name="ProductID" w:val="10 га"/>
        </w:smartTagPr>
        <w:r w:rsidRPr="00494B1D">
          <w:rPr>
            <w:rFonts w:cs="ISOCPEUR"/>
            <w:color w:val="000000"/>
          </w:rPr>
          <w:t>10 га.</w:t>
        </w:r>
      </w:smartTag>
      <w:r w:rsidRPr="00494B1D">
        <w:rPr>
          <w:rFonts w:cs="ISOCPEUR"/>
          <w:color w:val="000000"/>
        </w:rPr>
        <w:t xml:space="preserve">  </w:t>
      </w:r>
      <w:r w:rsidR="00494B1D">
        <w:rPr>
          <w:rFonts w:cs="ISOCPEUR"/>
          <w:color w:val="000000"/>
        </w:rPr>
        <w:t>Застройка предусматривает индивидуальные жилые дома</w:t>
      </w:r>
      <w:r w:rsidRPr="00494B1D">
        <w:rPr>
          <w:rFonts w:cs="ISOCPEUR"/>
          <w:color w:val="000000"/>
        </w:rPr>
        <w:t xml:space="preserve"> на</w:t>
      </w:r>
      <w:r w:rsidRPr="002B1AEF">
        <w:rPr>
          <w:rFonts w:cs="ISOCPEUR"/>
          <w:color w:val="000000"/>
        </w:rPr>
        <w:t xml:space="preserve"> одну  семью. Кроме того, для первого этапа строительства (1 и 2 очередей)  запроектированы объекты социальной инфраструктуры: административное здание с КПП, предприятиями  торговли, аптечным и медицинским пунктами, пунктом связи, опорным  пунктом милиции и комбинатом бытовых услуг. </w:t>
      </w:r>
    </w:p>
    <w:p w:rsidR="00494B1D" w:rsidRPr="00494B1D" w:rsidRDefault="00494B1D" w:rsidP="00494B1D">
      <w:pPr>
        <w:jc w:val="both"/>
        <w:rPr>
          <w:rFonts w:cs="ISOCPEUR"/>
          <w:color w:val="000000"/>
        </w:rPr>
      </w:pPr>
      <w:r w:rsidRPr="00494B1D">
        <w:rPr>
          <w:rFonts w:cs="ISOCPEUR"/>
          <w:b/>
          <w:color w:val="000000"/>
        </w:rPr>
        <w:t>Жилая застройка по ул. Суходольская</w:t>
      </w:r>
      <w:r>
        <w:rPr>
          <w:rFonts w:cs="ISOCPEUR"/>
          <w:b/>
          <w:color w:val="000000"/>
        </w:rPr>
        <w:t xml:space="preserve"> (г. Екатеринбург). </w:t>
      </w:r>
      <w:r w:rsidRPr="00494B1D">
        <w:rPr>
          <w:rFonts w:cs="ISOCPEUR"/>
          <w:color w:val="000000"/>
        </w:rPr>
        <w:t xml:space="preserve">Общая площадь участка 1,10 га. В пределах отведённого участка проектом предусмотрено размещение 22-х жилых секций </w:t>
      </w:r>
      <w:proofErr w:type="spellStart"/>
      <w:r w:rsidRPr="00494B1D">
        <w:rPr>
          <w:rFonts w:cs="ISOCPEUR"/>
          <w:color w:val="000000"/>
        </w:rPr>
        <w:t>таун-хаусов</w:t>
      </w:r>
      <w:proofErr w:type="spellEnd"/>
      <w:r w:rsidRPr="00494B1D">
        <w:rPr>
          <w:rFonts w:cs="ISOCPEUR"/>
          <w:color w:val="000000"/>
        </w:rPr>
        <w:t xml:space="preserve">, одного индивидуального жилого дома и </w:t>
      </w:r>
      <w:proofErr w:type="spellStart"/>
      <w:r w:rsidRPr="00494B1D">
        <w:rPr>
          <w:rFonts w:cs="ISOCPEUR"/>
          <w:color w:val="000000"/>
        </w:rPr>
        <w:t>пристроя</w:t>
      </w:r>
      <w:proofErr w:type="spellEnd"/>
      <w:r w:rsidRPr="00494B1D">
        <w:rPr>
          <w:rFonts w:cs="ISOCPEUR"/>
          <w:color w:val="000000"/>
        </w:rPr>
        <w:t xml:space="preserve"> с блоком ТСЖ и аптекой. Для функционирования жилой группы на проектируемом </w:t>
      </w:r>
      <w:proofErr w:type="gramStart"/>
      <w:r w:rsidRPr="00494B1D">
        <w:rPr>
          <w:rFonts w:cs="ISOCPEUR"/>
          <w:color w:val="000000"/>
        </w:rPr>
        <w:t>участке</w:t>
      </w:r>
      <w:proofErr w:type="gramEnd"/>
      <w:r w:rsidRPr="00494B1D">
        <w:rPr>
          <w:rFonts w:cs="ISOCPEUR"/>
          <w:color w:val="000000"/>
        </w:rPr>
        <w:t xml:space="preserve"> размещены объекты инженерной инфраструктуры. </w:t>
      </w:r>
    </w:p>
    <w:p w:rsidR="003C7E1E" w:rsidRPr="00FC36A1" w:rsidRDefault="004629FB" w:rsidP="003C7E1E">
      <w:pPr>
        <w:pStyle w:val="a3"/>
        <w:numPr>
          <w:ilvl w:val="0"/>
          <w:numId w:val="1"/>
        </w:numPr>
        <w:rPr>
          <w:b/>
          <w:color w:val="365F91" w:themeColor="accent1" w:themeShade="BF"/>
        </w:rPr>
      </w:pPr>
      <w:r w:rsidRPr="00FC36A1">
        <w:rPr>
          <w:b/>
          <w:color w:val="365F91" w:themeColor="accent1" w:themeShade="BF"/>
        </w:rPr>
        <w:t>СОЦИАЛЬНЫЕ И КУЛЬТУРНЫЕ ОБЪЕКТЫ:</w:t>
      </w:r>
    </w:p>
    <w:p w:rsidR="00494B1D" w:rsidRPr="00494B1D" w:rsidRDefault="00A72CB7" w:rsidP="00494B1D">
      <w:pPr>
        <w:spacing w:after="0"/>
        <w:jc w:val="both"/>
        <w:rPr>
          <w:rFonts w:cs="ISOCPEUR"/>
          <w:color w:val="000000"/>
        </w:rPr>
      </w:pPr>
      <w:r w:rsidRPr="00494B1D">
        <w:rPr>
          <w:rFonts w:cs="ISOCPEUR"/>
          <w:b/>
          <w:color w:val="000000"/>
        </w:rPr>
        <w:lastRenderedPageBreak/>
        <w:t>Реконструкция стад. «Юность»</w:t>
      </w:r>
      <w:proofErr w:type="gramStart"/>
      <w:r w:rsidRPr="00494B1D">
        <w:rPr>
          <w:rFonts w:cs="ISOCPEUR"/>
          <w:b/>
          <w:color w:val="000000"/>
        </w:rPr>
        <w:t>.</w:t>
      </w:r>
      <w:proofErr w:type="gramEnd"/>
      <w:r w:rsidRPr="00494B1D">
        <w:rPr>
          <w:rFonts w:cs="ISOCPEUR"/>
          <w:b/>
          <w:color w:val="000000"/>
        </w:rPr>
        <w:t xml:space="preserve"> </w:t>
      </w:r>
      <w:r w:rsidR="007666B0" w:rsidRPr="00494B1D">
        <w:rPr>
          <w:rFonts w:cs="ISOCPEUR"/>
          <w:b/>
          <w:color w:val="000000"/>
        </w:rPr>
        <w:t xml:space="preserve"> </w:t>
      </w:r>
      <w:r w:rsidR="00494B1D" w:rsidRPr="00494B1D">
        <w:rPr>
          <w:rFonts w:cs="ISOCPEUR"/>
          <w:b/>
          <w:color w:val="000000"/>
        </w:rPr>
        <w:t>(</w:t>
      </w:r>
      <w:proofErr w:type="gramStart"/>
      <w:r w:rsidR="00494B1D" w:rsidRPr="00494B1D">
        <w:rPr>
          <w:rFonts w:cs="ISOCPEUR"/>
          <w:b/>
          <w:color w:val="000000"/>
        </w:rPr>
        <w:t>г</w:t>
      </w:r>
      <w:proofErr w:type="gramEnd"/>
      <w:r w:rsidR="00494B1D" w:rsidRPr="00494B1D">
        <w:rPr>
          <w:rFonts w:cs="ISOCPEUR"/>
          <w:b/>
          <w:color w:val="000000"/>
        </w:rPr>
        <w:t xml:space="preserve">. Екатеринбург). </w:t>
      </w:r>
      <w:r w:rsidR="00494B1D" w:rsidRPr="00494B1D">
        <w:rPr>
          <w:rFonts w:cs="ISOCPEUR"/>
          <w:color w:val="000000"/>
        </w:rPr>
        <w:t>В комплекс работ, проводимых компанией, входила разработка основных сооружений:</w:t>
      </w:r>
      <w:r w:rsidR="00494B1D">
        <w:rPr>
          <w:rFonts w:cs="ISOCPEUR"/>
          <w:color w:val="000000"/>
        </w:rPr>
        <w:t xml:space="preserve"> з</w:t>
      </w:r>
      <w:r w:rsidR="00494B1D" w:rsidRPr="00494B1D">
        <w:rPr>
          <w:rFonts w:cs="ISOCPEUR"/>
          <w:color w:val="000000"/>
        </w:rPr>
        <w:t>акрытая многоэтажная автомобильная стоянка на 232 места;</w:t>
      </w:r>
      <w:r w:rsidR="00494B1D">
        <w:rPr>
          <w:rFonts w:cs="ISOCPEUR"/>
          <w:color w:val="000000"/>
        </w:rPr>
        <w:t xml:space="preserve"> в</w:t>
      </w:r>
      <w:r w:rsidR="00494B1D" w:rsidRPr="00494B1D">
        <w:rPr>
          <w:rFonts w:cs="ISOCPEUR"/>
          <w:color w:val="000000"/>
        </w:rPr>
        <w:t>ходная группа, трибуна вместимостью 3500 мест, ледовая и легкоатлетическая арены;</w:t>
      </w:r>
      <w:r w:rsidR="00494B1D">
        <w:rPr>
          <w:rFonts w:cs="ISOCPEUR"/>
          <w:color w:val="000000"/>
        </w:rPr>
        <w:t xml:space="preserve"> х</w:t>
      </w:r>
      <w:r w:rsidR="00494B1D" w:rsidRPr="00494B1D">
        <w:rPr>
          <w:rFonts w:cs="ISOCPEUR"/>
          <w:color w:val="000000"/>
        </w:rPr>
        <w:t>озяйственный корпус для спецтехники.</w:t>
      </w:r>
    </w:p>
    <w:p w:rsidR="003C7E1E" w:rsidRDefault="003C7E1E" w:rsidP="004629FB">
      <w:pPr>
        <w:autoSpaceDE w:val="0"/>
        <w:autoSpaceDN w:val="0"/>
        <w:adjustRightInd w:val="0"/>
        <w:spacing w:before="240" w:after="0"/>
        <w:jc w:val="both"/>
        <w:rPr>
          <w:rFonts w:cs="ISOCPEUR"/>
          <w:color w:val="000000"/>
        </w:rPr>
      </w:pPr>
      <w:r w:rsidRPr="00494B1D">
        <w:rPr>
          <w:rFonts w:cs="ISOCPEUR"/>
          <w:b/>
          <w:color w:val="000000"/>
        </w:rPr>
        <w:t>Г</w:t>
      </w:r>
      <w:r w:rsidR="00494B1D">
        <w:rPr>
          <w:rFonts w:cs="ISOCPEUR"/>
          <w:b/>
          <w:color w:val="000000"/>
        </w:rPr>
        <w:t xml:space="preserve">орнолыжный комплекс  «Гора Белая» </w:t>
      </w:r>
      <w:r w:rsidR="007666B0" w:rsidRPr="00494B1D">
        <w:rPr>
          <w:rFonts w:cs="ISOCPEUR"/>
          <w:b/>
          <w:color w:val="000000"/>
        </w:rPr>
        <w:t>(Свердловская обл.)</w:t>
      </w:r>
      <w:r w:rsidR="00494B1D">
        <w:rPr>
          <w:rFonts w:cs="ISOCPEUR"/>
          <w:b/>
          <w:color w:val="000000"/>
        </w:rPr>
        <w:t xml:space="preserve"> </w:t>
      </w:r>
      <w:r w:rsidR="004629FB">
        <w:rPr>
          <w:rFonts w:cs="ISOCPEUR"/>
          <w:color w:val="000000"/>
        </w:rPr>
        <w:t xml:space="preserve">Новый горнолыжный </w:t>
      </w:r>
      <w:proofErr w:type="spellStart"/>
      <w:r w:rsidR="004629FB">
        <w:rPr>
          <w:rFonts w:cs="ISOCPEUR"/>
          <w:color w:val="000000"/>
        </w:rPr>
        <w:t>комлекс</w:t>
      </w:r>
      <w:proofErr w:type="spellEnd"/>
      <w:r w:rsidR="004629FB">
        <w:rPr>
          <w:rFonts w:cs="ISOCPEUR"/>
          <w:color w:val="000000"/>
        </w:rPr>
        <w:t xml:space="preserve"> сможет принимать до 20 000 зрителей. В рамках проекты были выполнены работы по проектированию </w:t>
      </w:r>
      <w:r w:rsidR="00494B1D" w:rsidRPr="004629FB">
        <w:rPr>
          <w:rFonts w:cs="ISOCPEUR"/>
          <w:color w:val="000000"/>
        </w:rPr>
        <w:t>физкульт</w:t>
      </w:r>
      <w:r w:rsidR="004629FB">
        <w:rPr>
          <w:rFonts w:cs="ISOCPEUR"/>
          <w:color w:val="000000"/>
        </w:rPr>
        <w:t>урно-оздоровительного комплекса</w:t>
      </w:r>
      <w:r w:rsidR="00494B1D" w:rsidRPr="004629FB">
        <w:rPr>
          <w:rFonts w:cs="ISOCPEUR"/>
          <w:color w:val="000000"/>
        </w:rPr>
        <w:t xml:space="preserve"> с залом для игровых видов спорта на 60 з</w:t>
      </w:r>
      <w:r w:rsidR="004629FB">
        <w:rPr>
          <w:rFonts w:cs="ISOCPEUR"/>
          <w:color w:val="000000"/>
        </w:rPr>
        <w:t xml:space="preserve">анимающихся и бассейном 25*16 м; </w:t>
      </w:r>
      <w:r w:rsidR="004629FB" w:rsidRPr="004629FB">
        <w:rPr>
          <w:rFonts w:cs="ISOCPEUR"/>
          <w:color w:val="000000"/>
        </w:rPr>
        <w:t>многоуровневой автостоянки на 568 мест</w:t>
      </w:r>
      <w:r w:rsidR="004629FB">
        <w:rPr>
          <w:rFonts w:cs="ISOCPEUR"/>
          <w:color w:val="000000"/>
        </w:rPr>
        <w:t>; внешних сетей и сооружений, а также канализационно очистных сооружений (КОС).</w:t>
      </w:r>
    </w:p>
    <w:p w:rsidR="004629FB" w:rsidRPr="004629FB" w:rsidRDefault="004629FB" w:rsidP="004629FB">
      <w:pPr>
        <w:autoSpaceDE w:val="0"/>
        <w:autoSpaceDN w:val="0"/>
        <w:adjustRightInd w:val="0"/>
        <w:spacing w:before="240" w:after="0"/>
        <w:jc w:val="both"/>
        <w:rPr>
          <w:rFonts w:cs="ISOCPEUR"/>
          <w:color w:val="000000"/>
        </w:rPr>
      </w:pPr>
      <w:r>
        <w:rPr>
          <w:rFonts w:cs="ISOCPEUR"/>
          <w:b/>
          <w:color w:val="000000"/>
        </w:rPr>
        <w:t>Центр</w:t>
      </w:r>
      <w:r w:rsidRPr="004629FB">
        <w:rPr>
          <w:rFonts w:cs="ISOCPEUR"/>
          <w:b/>
          <w:color w:val="000000"/>
        </w:rPr>
        <w:t xml:space="preserve"> планирования семьи</w:t>
      </w:r>
      <w:r>
        <w:rPr>
          <w:rFonts w:cs="ISOCPEUR"/>
          <w:b/>
          <w:color w:val="000000"/>
        </w:rPr>
        <w:t xml:space="preserve"> (г. Екатеринбург).</w:t>
      </w:r>
      <w:r w:rsidRPr="004629FB">
        <w:rPr>
          <w:rFonts w:cs="ISOCPEUR"/>
          <w:color w:val="000000"/>
        </w:rPr>
        <w:t xml:space="preserve"> В рамках реконструкции был выполнен проект реконструкции трех существующих зданий, проект нового медицинского корпуса, а также проект технологического медицинского оборудования.</w:t>
      </w:r>
      <w:r>
        <w:rPr>
          <w:rFonts w:cs="ISOCPEUR"/>
          <w:color w:val="000000"/>
        </w:rPr>
        <w:t xml:space="preserve"> </w:t>
      </w:r>
      <w:r w:rsidRPr="004629FB">
        <w:rPr>
          <w:rFonts w:cs="ISOCPEUR"/>
          <w:color w:val="000000"/>
        </w:rPr>
        <w:t>Общая площадь всего комплекса — 8 619 м</w:t>
      </w:r>
      <w:proofErr w:type="gramStart"/>
      <w:r w:rsidRPr="004629FB">
        <w:rPr>
          <w:rFonts w:cs="ISOCPEUR"/>
          <w:color w:val="000000"/>
        </w:rPr>
        <w:t>2</w:t>
      </w:r>
      <w:proofErr w:type="gramEnd"/>
      <w:r w:rsidRPr="004629FB">
        <w:rPr>
          <w:rFonts w:cs="ISOCPEUR"/>
          <w:color w:val="000000"/>
        </w:rPr>
        <w:t>.</w:t>
      </w:r>
      <w:r>
        <w:rPr>
          <w:rFonts w:cs="ISOCPEUR"/>
          <w:color w:val="000000"/>
        </w:rPr>
        <w:t xml:space="preserve"> </w:t>
      </w:r>
      <w:r w:rsidRPr="004629FB">
        <w:rPr>
          <w:rFonts w:cs="ISOCPEUR"/>
          <w:color w:val="000000"/>
        </w:rPr>
        <w:t>Площадь реконструируемой части — 2 619 м</w:t>
      </w:r>
      <w:proofErr w:type="gramStart"/>
      <w:r w:rsidRPr="004629FB">
        <w:rPr>
          <w:rFonts w:cs="ISOCPEUR"/>
          <w:color w:val="000000"/>
        </w:rPr>
        <w:t>2</w:t>
      </w:r>
      <w:proofErr w:type="gramEnd"/>
      <w:r w:rsidRPr="004629FB">
        <w:rPr>
          <w:rFonts w:cs="ISOCPEUR"/>
          <w:color w:val="000000"/>
        </w:rPr>
        <w:t>.</w:t>
      </w:r>
    </w:p>
    <w:p w:rsidR="004629FB" w:rsidRPr="004629FB" w:rsidRDefault="004629FB" w:rsidP="004629FB">
      <w:pPr>
        <w:autoSpaceDE w:val="0"/>
        <w:autoSpaceDN w:val="0"/>
        <w:adjustRightInd w:val="0"/>
        <w:spacing w:before="240" w:after="0"/>
        <w:jc w:val="both"/>
        <w:rPr>
          <w:rFonts w:cs="ISOCPEUR"/>
          <w:color w:val="000000"/>
        </w:rPr>
      </w:pPr>
      <w:r w:rsidRPr="004629FB">
        <w:rPr>
          <w:rFonts w:cs="ISOCPEUR"/>
          <w:b/>
          <w:color w:val="000000"/>
        </w:rPr>
        <w:t>Детское образовательное учреждение начальной школы, г. Москва.</w:t>
      </w:r>
      <w:r>
        <w:rPr>
          <w:rFonts w:cs="ISOCPEUR"/>
          <w:b/>
          <w:color w:val="000000"/>
        </w:rPr>
        <w:t xml:space="preserve"> </w:t>
      </w:r>
      <w:r w:rsidRPr="004629FB">
        <w:rPr>
          <w:rFonts w:cs="ISOCPEUR"/>
          <w:color w:val="000000"/>
        </w:rPr>
        <w:t>О</w:t>
      </w:r>
      <w:r>
        <w:rPr>
          <w:rFonts w:cs="ISOCPEUR"/>
          <w:color w:val="000000"/>
        </w:rPr>
        <w:t>б</w:t>
      </w:r>
      <w:r w:rsidRPr="004629FB">
        <w:rPr>
          <w:rFonts w:cs="ISOCPEUR"/>
          <w:color w:val="000000"/>
        </w:rPr>
        <w:t>щая площадь – 1 050 м</w:t>
      </w:r>
      <w:proofErr w:type="gramStart"/>
      <w:r w:rsidRPr="004629FB">
        <w:rPr>
          <w:rFonts w:cs="ISOCPEUR"/>
          <w:color w:val="000000"/>
        </w:rPr>
        <w:t>2</w:t>
      </w:r>
      <w:proofErr w:type="gramEnd"/>
      <w:r w:rsidRPr="004629FB">
        <w:rPr>
          <w:rFonts w:cs="ISOCPEUR"/>
          <w:color w:val="000000"/>
        </w:rPr>
        <w:t>, детский сад рассчитан на 150 мест.</w:t>
      </w:r>
    </w:p>
    <w:p w:rsidR="004629FB" w:rsidRPr="004629FB" w:rsidRDefault="004629FB" w:rsidP="004629FB">
      <w:pPr>
        <w:autoSpaceDE w:val="0"/>
        <w:autoSpaceDN w:val="0"/>
        <w:adjustRightInd w:val="0"/>
        <w:spacing w:before="240" w:after="0"/>
        <w:jc w:val="both"/>
        <w:rPr>
          <w:rFonts w:cs="ISOCPEUR"/>
          <w:color w:val="000000"/>
        </w:rPr>
      </w:pPr>
      <w:r w:rsidRPr="004629FB">
        <w:rPr>
          <w:rFonts w:cs="ISOCPEUR"/>
          <w:b/>
          <w:color w:val="000000"/>
        </w:rPr>
        <w:t>Детское образовательное учреждение начальной школы, г</w:t>
      </w:r>
      <w:proofErr w:type="gramStart"/>
      <w:r w:rsidRPr="004629FB">
        <w:rPr>
          <w:rFonts w:cs="ISOCPEUR"/>
          <w:b/>
          <w:color w:val="000000"/>
        </w:rPr>
        <w:t>.М</w:t>
      </w:r>
      <w:proofErr w:type="gramEnd"/>
      <w:r w:rsidRPr="004629FB">
        <w:rPr>
          <w:rFonts w:cs="ISOCPEUR"/>
          <w:b/>
          <w:color w:val="000000"/>
        </w:rPr>
        <w:t>осква</w:t>
      </w:r>
      <w:r>
        <w:rPr>
          <w:rFonts w:cs="ISOCPEUR"/>
          <w:b/>
          <w:color w:val="000000"/>
        </w:rPr>
        <w:t xml:space="preserve">. </w:t>
      </w:r>
      <w:r w:rsidRPr="004629FB">
        <w:rPr>
          <w:rFonts w:cs="ISOCPEUR"/>
          <w:color w:val="000000"/>
        </w:rPr>
        <w:t>Школьное учреждение представляет собой отдельно стоящее 3-х этажное здание с цокольным этажом. Начальная школа рассчитана на 300 учащихся.</w:t>
      </w:r>
      <w:r>
        <w:rPr>
          <w:rFonts w:cs="ISOCPEUR"/>
          <w:color w:val="000000"/>
        </w:rPr>
        <w:t xml:space="preserve"> </w:t>
      </w:r>
      <w:r w:rsidRPr="004629FB">
        <w:rPr>
          <w:rFonts w:cs="ISOCPEUR"/>
          <w:color w:val="000000"/>
        </w:rPr>
        <w:t xml:space="preserve">Общая площадь здания — 4 473 </w:t>
      </w:r>
      <w:proofErr w:type="spellStart"/>
      <w:r w:rsidRPr="004629FB">
        <w:rPr>
          <w:rFonts w:cs="ISOCPEUR"/>
          <w:color w:val="000000"/>
        </w:rPr>
        <w:t>кв</w:t>
      </w:r>
      <w:proofErr w:type="spellEnd"/>
      <w:r w:rsidRPr="004629FB">
        <w:rPr>
          <w:rFonts w:cs="ISOCPEUR"/>
          <w:color w:val="000000"/>
        </w:rPr>
        <w:t xml:space="preserve"> м.</w:t>
      </w:r>
    </w:p>
    <w:p w:rsidR="004629FB" w:rsidRPr="004629FB" w:rsidRDefault="004629FB" w:rsidP="004629FB">
      <w:pPr>
        <w:autoSpaceDE w:val="0"/>
        <w:autoSpaceDN w:val="0"/>
        <w:adjustRightInd w:val="0"/>
        <w:spacing w:before="240" w:after="0"/>
        <w:jc w:val="both"/>
        <w:rPr>
          <w:rFonts w:cs="ISOCPEUR"/>
          <w:color w:val="000000"/>
        </w:rPr>
      </w:pPr>
      <w:r w:rsidRPr="004629FB">
        <w:rPr>
          <w:rFonts w:cs="ISOCPEUR"/>
          <w:b/>
          <w:color w:val="000000"/>
        </w:rPr>
        <w:t xml:space="preserve">Реконструкция парка </w:t>
      </w:r>
      <w:proofErr w:type="spellStart"/>
      <w:r w:rsidRPr="004629FB">
        <w:rPr>
          <w:rFonts w:cs="ISOCPEUR"/>
          <w:b/>
          <w:color w:val="000000"/>
        </w:rPr>
        <w:t>Турбомоторного</w:t>
      </w:r>
      <w:proofErr w:type="spellEnd"/>
      <w:r w:rsidRPr="004629FB">
        <w:rPr>
          <w:rFonts w:cs="ISOCPEUR"/>
          <w:b/>
          <w:color w:val="000000"/>
        </w:rPr>
        <w:t xml:space="preserve"> завода, г. Екатеринбург.</w:t>
      </w:r>
      <w:r>
        <w:rPr>
          <w:rFonts w:cs="ISOCPEUR"/>
          <w:b/>
          <w:color w:val="000000"/>
        </w:rPr>
        <w:t xml:space="preserve"> </w:t>
      </w:r>
      <w:r w:rsidRPr="004629FB">
        <w:rPr>
          <w:rFonts w:cs="ISOCPEUR"/>
          <w:color w:val="000000"/>
        </w:rPr>
        <w:t>Площадь участка проектирования составила 43680 м</w:t>
      </w:r>
      <w:proofErr w:type="gramStart"/>
      <w:r w:rsidRPr="004629FB">
        <w:rPr>
          <w:rFonts w:cs="ISOCPEUR"/>
          <w:color w:val="000000"/>
        </w:rPr>
        <w:t>2</w:t>
      </w:r>
      <w:proofErr w:type="gramEnd"/>
      <w:r w:rsidRPr="004629FB">
        <w:rPr>
          <w:rFonts w:cs="ISOCPEUR"/>
          <w:color w:val="000000"/>
        </w:rPr>
        <w:t xml:space="preserve">. При проектировании учитывалось существующее расположение зелёных насаждений, инженерных сетей, а так же проектируемого торгового центра, размещённого на южной границе реконструируемого парка. </w:t>
      </w:r>
    </w:p>
    <w:p w:rsidR="003C7E1E" w:rsidRPr="00FC36A1" w:rsidRDefault="004629FB" w:rsidP="004629FB">
      <w:pPr>
        <w:pStyle w:val="a3"/>
        <w:numPr>
          <w:ilvl w:val="0"/>
          <w:numId w:val="1"/>
        </w:numPr>
        <w:spacing w:before="240"/>
        <w:rPr>
          <w:b/>
          <w:color w:val="365F91" w:themeColor="accent1" w:themeShade="BF"/>
        </w:rPr>
      </w:pPr>
      <w:r w:rsidRPr="00FC36A1">
        <w:rPr>
          <w:b/>
          <w:color w:val="365F91" w:themeColor="accent1" w:themeShade="BF"/>
        </w:rPr>
        <w:t>СКЛАДСКИЕ И ПРОМЫШЛЕННЫЕ ОБЪЕКТЫ:</w:t>
      </w:r>
    </w:p>
    <w:p w:rsidR="004629FB" w:rsidRPr="004629FB" w:rsidRDefault="004629FB" w:rsidP="00860CB1">
      <w:pPr>
        <w:pStyle w:val="a3"/>
        <w:spacing w:line="276" w:lineRule="auto"/>
        <w:ind w:left="0"/>
      </w:pPr>
      <w:r w:rsidRPr="004629FB">
        <w:rPr>
          <w:b/>
        </w:rPr>
        <w:t>Особая экономическая зона «Титановая долина»</w:t>
      </w:r>
      <w:r>
        <w:rPr>
          <w:b/>
        </w:rPr>
        <w:t xml:space="preserve"> (Свердловская обл.)</w:t>
      </w:r>
      <w:r w:rsidR="00860CB1">
        <w:rPr>
          <w:b/>
        </w:rPr>
        <w:t xml:space="preserve"> </w:t>
      </w:r>
      <w:r w:rsidRPr="004629FB">
        <w:t>Общая площадь территории составляет 721 га и состоит из двух земельных участков: южный (</w:t>
      </w:r>
      <w:r w:rsidRPr="004629FB">
        <w:rPr>
          <w:lang w:val="en-US"/>
        </w:rPr>
        <w:t>I</w:t>
      </w:r>
      <w:r w:rsidRPr="004629FB">
        <w:t xml:space="preserve"> очередь строительства), северный (</w:t>
      </w:r>
      <w:r w:rsidRPr="004629FB">
        <w:rPr>
          <w:lang w:val="en-US"/>
        </w:rPr>
        <w:t>II</w:t>
      </w:r>
      <w:r w:rsidRPr="004629FB">
        <w:t xml:space="preserve"> очередь строительства). Площадь земельного участка </w:t>
      </w:r>
      <w:r w:rsidRPr="004629FB">
        <w:rPr>
          <w:lang w:val="en-US"/>
        </w:rPr>
        <w:t>I</w:t>
      </w:r>
      <w:r w:rsidRPr="004629FB">
        <w:t xml:space="preserve"> очереди строительства составляет </w:t>
      </w:r>
      <w:bookmarkStart w:id="0" w:name="OLE_LINK1"/>
      <w:r w:rsidRPr="004629FB">
        <w:t>295 га</w:t>
      </w:r>
      <w:bookmarkEnd w:id="0"/>
      <w:r w:rsidR="00860CB1">
        <w:t xml:space="preserve">. </w:t>
      </w:r>
      <w:r w:rsidRPr="004629FB">
        <w:t>На территории проектирования выделены следующие функциональные зоны для размещения:</w:t>
      </w:r>
      <w:r w:rsidR="00860CB1">
        <w:t xml:space="preserve"> </w:t>
      </w:r>
      <w:r w:rsidRPr="004629FB">
        <w:t>объектов таможенного комплекса;</w:t>
      </w:r>
      <w:r w:rsidR="00860CB1">
        <w:t xml:space="preserve"> </w:t>
      </w:r>
      <w:r w:rsidRPr="004629FB">
        <w:t xml:space="preserve"> объектов инженерной инфраструктуры;</w:t>
      </w:r>
      <w:r w:rsidR="00860CB1">
        <w:t xml:space="preserve"> </w:t>
      </w:r>
      <w:r w:rsidRPr="004629FB">
        <w:t>промышленных объектов различных классов опасности;</w:t>
      </w:r>
      <w:r w:rsidR="00860CB1">
        <w:t xml:space="preserve"> </w:t>
      </w:r>
      <w:r w:rsidRPr="004629FB">
        <w:t>объектов административно-делового центра ОЭЗ ППТ;</w:t>
      </w:r>
      <w:r w:rsidR="00860CB1">
        <w:t xml:space="preserve"> </w:t>
      </w:r>
      <w:r w:rsidRPr="004629FB">
        <w:t>объектов транспортной инфраструктуры;</w:t>
      </w:r>
      <w:r w:rsidR="00860CB1">
        <w:t xml:space="preserve"> </w:t>
      </w:r>
      <w:r w:rsidRPr="004629FB">
        <w:t>подсобно вспомогательных объектов.</w:t>
      </w:r>
    </w:p>
    <w:p w:rsidR="004629FB" w:rsidRPr="004629FB" w:rsidRDefault="004629FB" w:rsidP="004629FB">
      <w:pPr>
        <w:pStyle w:val="a3"/>
        <w:ind w:left="0"/>
        <w:rPr>
          <w:b/>
        </w:rPr>
      </w:pPr>
    </w:p>
    <w:p w:rsidR="003C7E1E" w:rsidRPr="00FC36A1" w:rsidRDefault="00860CB1" w:rsidP="003C7E1E">
      <w:pPr>
        <w:pStyle w:val="a3"/>
        <w:numPr>
          <w:ilvl w:val="0"/>
          <w:numId w:val="1"/>
        </w:numPr>
        <w:rPr>
          <w:b/>
          <w:color w:val="365F91" w:themeColor="accent1" w:themeShade="BF"/>
        </w:rPr>
      </w:pPr>
      <w:r w:rsidRPr="00FC36A1">
        <w:rPr>
          <w:b/>
          <w:color w:val="365F91" w:themeColor="accent1" w:themeShade="BF"/>
        </w:rPr>
        <w:t>ПРЕДПРОЕКТНЫЕ РАБОТЫ</w:t>
      </w:r>
    </w:p>
    <w:p w:rsidR="00860CB1" w:rsidRDefault="00860CB1" w:rsidP="001962B4">
      <w:pPr>
        <w:pStyle w:val="a3"/>
        <w:spacing w:after="240" w:line="276" w:lineRule="auto"/>
        <w:ind w:left="0"/>
      </w:pPr>
      <w:r>
        <w:rPr>
          <w:b/>
        </w:rPr>
        <w:t>Анализ эскизного проекта и технических решений жилищной застройки</w:t>
      </w:r>
      <w:r w:rsidRPr="00860CB1">
        <w:rPr>
          <w:b/>
        </w:rPr>
        <w:t xml:space="preserve"> в районе п. Хутор,  г. Екатеринбург.</w:t>
      </w:r>
      <w:r>
        <w:rPr>
          <w:b/>
        </w:rPr>
        <w:t xml:space="preserve"> </w:t>
      </w:r>
      <w:r w:rsidRPr="00860CB1">
        <w:t>В ходе анализа представленного эскизного проекта было выявлено множество отклонений от действующих норм</w:t>
      </w:r>
      <w:r>
        <w:t xml:space="preserve">. </w:t>
      </w:r>
      <w:r w:rsidRPr="00860CB1">
        <w:t xml:space="preserve">Проведенный комплексный анализ </w:t>
      </w:r>
      <w:r>
        <w:t>позволил</w:t>
      </w:r>
      <w:r w:rsidRPr="00860CB1">
        <w:t xml:space="preserve"> сделать вывод о том, что представленная схема планировочной организации земельного участка требует доработки. </w:t>
      </w:r>
    </w:p>
    <w:p w:rsidR="001962B4" w:rsidRDefault="001962B4" w:rsidP="001962B4">
      <w:pPr>
        <w:pStyle w:val="a3"/>
        <w:spacing w:after="240" w:line="276" w:lineRule="auto"/>
        <w:ind w:left="0"/>
      </w:pPr>
    </w:p>
    <w:p w:rsidR="00860CB1" w:rsidRPr="00860CB1" w:rsidRDefault="00860CB1" w:rsidP="001962B4">
      <w:pPr>
        <w:pStyle w:val="a3"/>
        <w:spacing w:after="240" w:line="276" w:lineRule="auto"/>
        <w:ind w:left="0"/>
      </w:pPr>
      <w:r w:rsidRPr="00860CB1">
        <w:rPr>
          <w:b/>
        </w:rPr>
        <w:t xml:space="preserve">Анализ проектной документации </w:t>
      </w:r>
      <w:r>
        <w:rPr>
          <w:b/>
        </w:rPr>
        <w:t>коттеджного посел</w:t>
      </w:r>
      <w:r w:rsidRPr="00860CB1">
        <w:rPr>
          <w:b/>
        </w:rPr>
        <w:t>к</w:t>
      </w:r>
      <w:r>
        <w:rPr>
          <w:b/>
        </w:rPr>
        <w:t>а</w:t>
      </w:r>
      <w:r w:rsidRPr="00860CB1">
        <w:rPr>
          <w:b/>
        </w:rPr>
        <w:t xml:space="preserve"> в районе д. Зимогорье.</w:t>
      </w:r>
      <w:r>
        <w:rPr>
          <w:b/>
        </w:rPr>
        <w:t xml:space="preserve"> </w:t>
      </w:r>
      <w:r w:rsidRPr="00860CB1">
        <w:t>Площадь объекта составила 21 га.</w:t>
      </w:r>
      <w:r w:rsidR="001962B4">
        <w:t xml:space="preserve"> </w:t>
      </w:r>
      <w:r w:rsidRPr="00860CB1">
        <w:t>Цель анализа - проверка представленной документации на соответствие действующим нормам и оценка эффективности использования территории и принятых решений.</w:t>
      </w:r>
    </w:p>
    <w:p w:rsidR="00860CB1" w:rsidRDefault="00860CB1" w:rsidP="00860CB1">
      <w:pPr>
        <w:pStyle w:val="a3"/>
        <w:spacing w:line="276" w:lineRule="auto"/>
        <w:ind w:left="0"/>
      </w:pPr>
      <w:r w:rsidRPr="00860CB1">
        <w:lastRenderedPageBreak/>
        <w:t>На основании выполненного анализа были выявлены отклонения от нормативных требований по размещению инженерных сооружений, соблюдению санитарных разрывов от лесных массивов до территории участков под застройку и по прокладке сетей.</w:t>
      </w:r>
    </w:p>
    <w:p w:rsidR="001962B4" w:rsidRDefault="001962B4" w:rsidP="00860CB1">
      <w:pPr>
        <w:pStyle w:val="a3"/>
        <w:spacing w:line="276" w:lineRule="auto"/>
        <w:ind w:left="0"/>
      </w:pPr>
    </w:p>
    <w:p w:rsidR="001962B4" w:rsidRPr="00037C40" w:rsidRDefault="001962B4" w:rsidP="001962B4">
      <w:pPr>
        <w:pStyle w:val="a6"/>
        <w:spacing w:line="276" w:lineRule="auto"/>
        <w:jc w:val="both"/>
        <w:rPr>
          <w:rFonts w:asciiTheme="minorHAnsi" w:hAnsiTheme="minorHAnsi"/>
        </w:rPr>
      </w:pPr>
      <w:r w:rsidRPr="001962B4">
        <w:rPr>
          <w:b/>
        </w:rPr>
        <w:t>Архитектурная концепция</w:t>
      </w:r>
      <w:r>
        <w:rPr>
          <w:b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поселка в д. </w:t>
      </w:r>
      <w:proofErr w:type="gramStart"/>
      <w:r>
        <w:rPr>
          <w:rFonts w:ascii="Arial" w:eastAsia="Calibri" w:hAnsi="Arial" w:cs="Arial"/>
          <w:b/>
          <w:sz w:val="20"/>
          <w:szCs w:val="20"/>
        </w:rPr>
        <w:t>Первомайское</w:t>
      </w:r>
      <w:proofErr w:type="gramEnd"/>
      <w:r w:rsidRPr="00EE5E4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(</w:t>
      </w:r>
      <w:r w:rsidRPr="00EE5E4C">
        <w:rPr>
          <w:rFonts w:ascii="Arial" w:eastAsia="Calibri" w:hAnsi="Arial" w:cs="Arial"/>
          <w:b/>
          <w:sz w:val="20"/>
          <w:szCs w:val="20"/>
        </w:rPr>
        <w:t>Московск</w:t>
      </w:r>
      <w:r>
        <w:rPr>
          <w:rFonts w:ascii="Arial" w:eastAsia="Calibri" w:hAnsi="Arial" w:cs="Arial"/>
          <w:b/>
          <w:sz w:val="20"/>
          <w:szCs w:val="20"/>
        </w:rPr>
        <w:t xml:space="preserve">ая обл.). </w:t>
      </w:r>
      <w:r>
        <w:rPr>
          <w:rFonts w:asciiTheme="minorHAnsi" w:hAnsiTheme="minorHAnsi"/>
        </w:rPr>
        <w:t>Общая п</w:t>
      </w:r>
      <w:r w:rsidRPr="00037C40">
        <w:rPr>
          <w:rFonts w:asciiTheme="minorHAnsi" w:hAnsiTheme="minorHAnsi"/>
        </w:rPr>
        <w:t>лощадь застройки – 138</w:t>
      </w:r>
      <w:r>
        <w:rPr>
          <w:rFonts w:asciiTheme="minorHAnsi" w:hAnsiTheme="minorHAnsi"/>
        </w:rPr>
        <w:t xml:space="preserve">,8 га. Под </w:t>
      </w:r>
      <w:proofErr w:type="gramStart"/>
      <w:r>
        <w:rPr>
          <w:rFonts w:asciiTheme="minorHAnsi" w:hAnsiTheme="minorHAnsi"/>
        </w:rPr>
        <w:t>жилое строительство</w:t>
      </w:r>
      <w:proofErr w:type="gramEnd"/>
      <w:r>
        <w:rPr>
          <w:rFonts w:asciiTheme="minorHAnsi" w:hAnsiTheme="minorHAnsi"/>
        </w:rPr>
        <w:t xml:space="preserve"> отведено 90 га  для </w:t>
      </w:r>
      <w:r w:rsidRPr="00037C40">
        <w:rPr>
          <w:rFonts w:asciiTheme="minorHAnsi" w:hAnsiTheme="minorHAnsi"/>
        </w:rPr>
        <w:t xml:space="preserve"> 2 403 человек.</w:t>
      </w:r>
    </w:p>
    <w:p w:rsidR="001962B4" w:rsidRPr="00037C40" w:rsidRDefault="001962B4" w:rsidP="001962B4">
      <w:pPr>
        <w:jc w:val="both"/>
      </w:pPr>
      <w:r>
        <w:t>К</w:t>
      </w:r>
      <w:r w:rsidRPr="00037C40">
        <w:t>омплексное освоение т</w:t>
      </w:r>
      <w:r>
        <w:t>ерритории, включающее в себя  концепцию</w:t>
      </w:r>
      <w:r w:rsidRPr="00037C40">
        <w:t xml:space="preserve"> застройки, проект </w:t>
      </w:r>
      <w:r>
        <w:t>планировки территории, проектную и рабочую документацию</w:t>
      </w:r>
      <w:r w:rsidRPr="00037C40">
        <w:t>.</w:t>
      </w:r>
    </w:p>
    <w:p w:rsidR="001962B4" w:rsidRDefault="001962B4" w:rsidP="001962B4">
      <w:pPr>
        <w:pStyle w:val="a6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Эскиз генерального плана коттеджный посел</w:t>
      </w:r>
      <w:r w:rsidRPr="001962B4">
        <w:rPr>
          <w:rFonts w:asciiTheme="minorHAnsi" w:hAnsiTheme="minorHAnsi"/>
          <w:b/>
        </w:rPr>
        <w:t>к</w:t>
      </w:r>
      <w:r>
        <w:rPr>
          <w:rFonts w:asciiTheme="minorHAnsi" w:hAnsiTheme="minorHAnsi"/>
          <w:b/>
        </w:rPr>
        <w:t>а</w:t>
      </w:r>
      <w:r w:rsidRPr="001962B4">
        <w:rPr>
          <w:rFonts w:asciiTheme="minorHAnsi" w:hAnsiTheme="minorHAnsi"/>
          <w:b/>
        </w:rPr>
        <w:t>, Свердловская обл.</w:t>
      </w:r>
      <w:r>
        <w:rPr>
          <w:rFonts w:asciiTheme="minorHAnsi" w:hAnsiTheme="minorHAnsi"/>
          <w:b/>
        </w:rPr>
        <w:t xml:space="preserve"> </w:t>
      </w:r>
      <w:r w:rsidRPr="001962B4">
        <w:rPr>
          <w:rFonts w:asciiTheme="minorHAnsi" w:hAnsiTheme="minorHAnsi"/>
        </w:rPr>
        <w:t>Площадь территории для проектирования составляет 140, 67 га.</w:t>
      </w:r>
      <w:r>
        <w:rPr>
          <w:rFonts w:asciiTheme="minorHAnsi" w:hAnsiTheme="minorHAnsi"/>
          <w:b/>
        </w:rPr>
        <w:t xml:space="preserve"> </w:t>
      </w:r>
      <w:r w:rsidRPr="001962B4">
        <w:rPr>
          <w:rFonts w:asciiTheme="minorHAnsi" w:hAnsiTheme="minorHAnsi"/>
        </w:rPr>
        <w:t>В пределах отведённого земельного участка предусматривается размещение индивидуальных жилых домов (4 типа), таунхаусов (3 типа), малоэтажных квартирных домов, детского сада, въездной группы с административным зданием. Поселок рассчитан на проживание 3 385 жителей.</w:t>
      </w:r>
    </w:p>
    <w:p w:rsidR="001962B4" w:rsidRPr="001962B4" w:rsidRDefault="001962B4" w:rsidP="001962B4">
      <w:pPr>
        <w:pStyle w:val="a6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Эскиз генерального плана</w:t>
      </w:r>
      <w:r w:rsidRPr="001962B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малоэтажной жилищная застройки д. Мужачи</w:t>
      </w:r>
      <w:r w:rsidRPr="001962B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(</w:t>
      </w:r>
      <w:r w:rsidRPr="001962B4">
        <w:rPr>
          <w:rFonts w:asciiTheme="minorHAnsi" w:hAnsiTheme="minorHAnsi"/>
          <w:b/>
        </w:rPr>
        <w:t>Калужская обл</w:t>
      </w:r>
      <w:r>
        <w:rPr>
          <w:rFonts w:asciiTheme="minorHAnsi" w:hAnsiTheme="minorHAnsi"/>
          <w:b/>
        </w:rPr>
        <w:t xml:space="preserve">.) </w:t>
      </w:r>
      <w:r w:rsidRPr="001962B4">
        <w:rPr>
          <w:rFonts w:asciiTheme="minorHAnsi" w:hAnsiTheme="minorHAnsi"/>
        </w:rPr>
        <w:t xml:space="preserve">Площадь территории проектирования составляет 139,44 га. Проектом предусматривается размещение индивидуальных жилых домов 3х типов, таунхаусов 2х типов и малоэтажных квартирных </w:t>
      </w:r>
      <w:proofErr w:type="gramStart"/>
      <w:r w:rsidRPr="001962B4">
        <w:rPr>
          <w:rFonts w:asciiTheme="minorHAnsi" w:hAnsiTheme="minorHAnsi"/>
        </w:rPr>
        <w:t>домов</w:t>
      </w:r>
      <w:proofErr w:type="gramEnd"/>
      <w:r w:rsidRPr="001962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рассчитанных на проживание</w:t>
      </w:r>
      <w:r w:rsidRPr="001962B4">
        <w:rPr>
          <w:rFonts w:asciiTheme="minorHAnsi" w:hAnsiTheme="minorHAnsi"/>
        </w:rPr>
        <w:t xml:space="preserve"> 7000 жителей</w:t>
      </w:r>
      <w:r w:rsidR="0024688F">
        <w:rPr>
          <w:rFonts w:asciiTheme="minorHAnsi" w:hAnsiTheme="minorHAnsi"/>
        </w:rPr>
        <w:t>.</w:t>
      </w:r>
    </w:p>
    <w:p w:rsidR="001962B4" w:rsidRPr="001962B4" w:rsidRDefault="001962B4" w:rsidP="001962B4">
      <w:pPr>
        <w:pStyle w:val="a6"/>
        <w:spacing w:line="276" w:lineRule="auto"/>
        <w:jc w:val="both"/>
        <w:rPr>
          <w:rFonts w:asciiTheme="minorHAnsi" w:hAnsiTheme="minorHAnsi"/>
          <w:b/>
        </w:rPr>
      </w:pPr>
    </w:p>
    <w:p w:rsidR="0024688F" w:rsidRPr="0024688F" w:rsidRDefault="0024688F" w:rsidP="0024688F">
      <w:pPr>
        <w:spacing w:after="0"/>
        <w:rPr>
          <w:rFonts w:eastAsiaTheme="minorHAnsi"/>
          <w:b/>
          <w:sz w:val="21"/>
          <w:szCs w:val="21"/>
          <w:lang w:eastAsia="en-US"/>
        </w:rPr>
      </w:pPr>
      <w:r w:rsidRPr="0024688F">
        <w:rPr>
          <w:rFonts w:eastAsiaTheme="minorHAnsi"/>
          <w:b/>
          <w:sz w:val="21"/>
          <w:szCs w:val="21"/>
          <w:lang w:eastAsia="en-US"/>
        </w:rPr>
        <w:t xml:space="preserve">Архитектурная концепция </w:t>
      </w:r>
      <w:r w:rsidRPr="0024688F">
        <w:rPr>
          <w:rFonts w:eastAsiaTheme="minorHAnsi"/>
          <w:b/>
          <w:lang w:eastAsia="en-US"/>
        </w:rPr>
        <w:t xml:space="preserve">торгово-развлекательных, жилых зданий с подземным гаражом и надземным переходом, </w:t>
      </w:r>
      <w:proofErr w:type="spellStart"/>
      <w:r w:rsidRPr="0024688F">
        <w:rPr>
          <w:rFonts w:eastAsiaTheme="minorHAnsi"/>
          <w:b/>
          <w:sz w:val="21"/>
          <w:szCs w:val="21"/>
          <w:lang w:eastAsia="en-US"/>
        </w:rPr>
        <w:t>м-рн</w:t>
      </w:r>
      <w:proofErr w:type="spellEnd"/>
      <w:r w:rsidRPr="0024688F">
        <w:rPr>
          <w:rFonts w:eastAsiaTheme="minorHAnsi"/>
          <w:b/>
          <w:sz w:val="21"/>
          <w:szCs w:val="21"/>
          <w:lang w:eastAsia="en-US"/>
        </w:rPr>
        <w:t xml:space="preserve"> "Бутово-Парк", г. Москва</w:t>
      </w:r>
      <w:r>
        <w:rPr>
          <w:rFonts w:eastAsiaTheme="minorHAnsi"/>
          <w:b/>
          <w:sz w:val="21"/>
          <w:szCs w:val="21"/>
          <w:lang w:eastAsia="en-US"/>
        </w:rPr>
        <w:t xml:space="preserve">. </w:t>
      </w:r>
      <w:r w:rsidRPr="0024688F">
        <w:rPr>
          <w:rFonts w:eastAsiaTheme="minorHAnsi"/>
          <w:lang w:eastAsia="en-US"/>
        </w:rPr>
        <w:t xml:space="preserve">Концепцией предусматривается размещение двух 22-х этажных жилых домов с пристроенными помещениями административно-бытового обслуживания и подземным двухуровневым гаражом, размещённых на разных участках и объединённых надземным переходом. 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24688F">
        <w:rPr>
          <w:rFonts w:eastAsiaTheme="minorHAnsi"/>
          <w:lang w:eastAsia="en-US"/>
        </w:rPr>
        <w:t>Площадь проектируемых квартир в двух жилых зданиях составила ориентировочно 20000 м</w:t>
      </w:r>
      <w:proofErr w:type="gramStart"/>
      <w:r w:rsidRPr="0024688F">
        <w:rPr>
          <w:rFonts w:eastAsiaTheme="minorHAnsi"/>
          <w:lang w:eastAsia="en-US"/>
        </w:rPr>
        <w:t>2</w:t>
      </w:r>
      <w:proofErr w:type="gramEnd"/>
      <w:r w:rsidRPr="0024688F">
        <w:rPr>
          <w:rFonts w:eastAsiaTheme="minorHAnsi"/>
          <w:lang w:eastAsia="en-US"/>
        </w:rPr>
        <w:t xml:space="preserve">, возможно заселение 570 человек. </w:t>
      </w:r>
    </w:p>
    <w:p w:rsidR="0024688F" w:rsidRDefault="0024688F" w:rsidP="0024688F">
      <w:pPr>
        <w:spacing w:after="0"/>
        <w:rPr>
          <w:rFonts w:eastAsiaTheme="minorHAnsi"/>
          <w:b/>
          <w:sz w:val="21"/>
          <w:szCs w:val="21"/>
          <w:lang w:eastAsia="en-US"/>
        </w:rPr>
      </w:pPr>
    </w:p>
    <w:p w:rsidR="0024688F" w:rsidRPr="0024688F" w:rsidRDefault="0024688F" w:rsidP="0024688F">
      <w:pPr>
        <w:spacing w:after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Эскизный проект комплексной жилой застройки г. Екатеринбург. </w:t>
      </w:r>
      <w:r w:rsidRPr="0024688F">
        <w:rPr>
          <w:rFonts w:eastAsiaTheme="minorHAnsi"/>
          <w:sz w:val="21"/>
          <w:szCs w:val="21"/>
          <w:lang w:eastAsia="en-US"/>
        </w:rPr>
        <w:t>Площадь застройки составляет</w:t>
      </w:r>
    </w:p>
    <w:p w:rsidR="0024688F" w:rsidRPr="0024688F" w:rsidRDefault="0024688F" w:rsidP="0024688F">
      <w:pPr>
        <w:spacing w:after="0"/>
        <w:rPr>
          <w:rFonts w:eastAsiaTheme="minorHAnsi"/>
          <w:sz w:val="21"/>
          <w:szCs w:val="21"/>
          <w:lang w:eastAsia="en-US"/>
        </w:rPr>
      </w:pPr>
      <w:r w:rsidRPr="0024688F">
        <w:rPr>
          <w:rFonts w:eastAsiaTheme="minorHAnsi"/>
          <w:sz w:val="21"/>
          <w:szCs w:val="21"/>
          <w:lang w:eastAsia="en-US"/>
        </w:rPr>
        <w:t>49,7 га</w:t>
      </w:r>
      <w:r>
        <w:rPr>
          <w:rFonts w:eastAsiaTheme="minorHAnsi"/>
          <w:sz w:val="21"/>
          <w:szCs w:val="21"/>
          <w:lang w:eastAsia="en-US"/>
        </w:rPr>
        <w:t>.</w:t>
      </w:r>
      <w:r w:rsidRPr="0024688F">
        <w:rPr>
          <w:rFonts w:eastAsiaTheme="minorHAnsi"/>
          <w:sz w:val="21"/>
          <w:szCs w:val="21"/>
          <w:lang w:eastAsia="en-US"/>
        </w:rPr>
        <w:t xml:space="preserve"> Выполнено 2 варианта планировочной организации застройки 4-х этажными многосекционными жилыми домами. </w:t>
      </w:r>
      <w:r>
        <w:rPr>
          <w:rFonts w:eastAsiaTheme="minorHAnsi"/>
          <w:sz w:val="21"/>
          <w:szCs w:val="21"/>
          <w:lang w:eastAsia="en-US"/>
        </w:rPr>
        <w:t>О</w:t>
      </w:r>
      <w:r w:rsidRPr="0024688F">
        <w:rPr>
          <w:rFonts w:eastAsiaTheme="minorHAnsi"/>
          <w:sz w:val="21"/>
          <w:szCs w:val="21"/>
          <w:lang w:eastAsia="en-US"/>
        </w:rPr>
        <w:t>бщая площадь квартир - порядка 115 000 м</w:t>
      </w:r>
      <w:proofErr w:type="gramStart"/>
      <w:r w:rsidRPr="0024688F">
        <w:rPr>
          <w:rFonts w:eastAsiaTheme="minorHAnsi"/>
          <w:sz w:val="21"/>
          <w:szCs w:val="21"/>
          <w:lang w:eastAsia="en-US"/>
        </w:rPr>
        <w:t>2</w:t>
      </w:r>
      <w:proofErr w:type="gramEnd"/>
      <w:r w:rsidRPr="0024688F">
        <w:rPr>
          <w:rFonts w:eastAsiaTheme="minorHAnsi"/>
          <w:sz w:val="21"/>
          <w:szCs w:val="21"/>
          <w:lang w:eastAsia="en-US"/>
        </w:rPr>
        <w:t>, количество жителей - 4800 человек.</w:t>
      </w:r>
    </w:p>
    <w:p w:rsidR="0024688F" w:rsidRDefault="0024688F" w:rsidP="0024688F">
      <w:pPr>
        <w:spacing w:after="0"/>
        <w:rPr>
          <w:rFonts w:eastAsiaTheme="minorHAnsi"/>
          <w:b/>
          <w:sz w:val="21"/>
          <w:szCs w:val="21"/>
          <w:lang w:eastAsia="en-US"/>
        </w:rPr>
      </w:pPr>
    </w:p>
    <w:p w:rsidR="0024688F" w:rsidRDefault="0024688F" w:rsidP="0024688F">
      <w:pPr>
        <w:spacing w:after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>Эскиз генерального плана коттеджного посел</w:t>
      </w:r>
      <w:r w:rsidRPr="0024688F">
        <w:rPr>
          <w:rFonts w:eastAsiaTheme="minorHAnsi"/>
          <w:b/>
          <w:sz w:val="21"/>
          <w:szCs w:val="21"/>
          <w:lang w:eastAsia="en-US"/>
        </w:rPr>
        <w:t>к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Pr="0024688F">
        <w:rPr>
          <w:rFonts w:eastAsiaTheme="minorHAnsi"/>
          <w:b/>
          <w:sz w:val="21"/>
          <w:szCs w:val="21"/>
          <w:lang w:eastAsia="en-US"/>
        </w:rPr>
        <w:t xml:space="preserve"> Зуброво, Свердловская область.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="00146A06" w:rsidRPr="00146A06">
        <w:rPr>
          <w:rFonts w:eastAsiaTheme="minorHAnsi"/>
          <w:sz w:val="21"/>
          <w:szCs w:val="21"/>
          <w:lang w:eastAsia="en-US"/>
        </w:rPr>
        <w:t>П</w:t>
      </w:r>
      <w:r w:rsidRPr="00146A06">
        <w:rPr>
          <w:rFonts w:eastAsiaTheme="minorHAnsi"/>
          <w:sz w:val="21"/>
          <w:szCs w:val="21"/>
          <w:lang w:eastAsia="en-US"/>
        </w:rPr>
        <w:t>ро</w:t>
      </w:r>
      <w:r w:rsidRPr="0024688F">
        <w:rPr>
          <w:rFonts w:eastAsiaTheme="minorHAnsi"/>
          <w:sz w:val="21"/>
          <w:szCs w:val="21"/>
          <w:lang w:eastAsia="en-US"/>
        </w:rPr>
        <w:t>ектом предусмотрено размещение индивидуальной жилой застройки на территории 7 га (порядка 30ти индивидуальных домов), здания контрольно-пропускного пункта, организация улично-дорожной сети, тротуа</w:t>
      </w:r>
      <w:r w:rsidR="009D1898">
        <w:rPr>
          <w:rFonts w:eastAsiaTheme="minorHAnsi"/>
          <w:sz w:val="21"/>
          <w:szCs w:val="21"/>
          <w:lang w:eastAsia="en-US"/>
        </w:rPr>
        <w:t xml:space="preserve">ров, площадок для отдыха и игр. </w:t>
      </w:r>
      <w:r w:rsidRPr="0024688F">
        <w:rPr>
          <w:rFonts w:eastAsiaTheme="minorHAnsi"/>
          <w:sz w:val="21"/>
          <w:szCs w:val="21"/>
          <w:lang w:eastAsia="en-US"/>
        </w:rPr>
        <w:t>При планировочной организации участка учтена существующая застройка, насаждения и коммуникации.</w:t>
      </w:r>
    </w:p>
    <w:p w:rsidR="009D1898" w:rsidRPr="0024688F" w:rsidRDefault="009D1898" w:rsidP="0024688F">
      <w:pPr>
        <w:spacing w:after="0"/>
        <w:rPr>
          <w:rFonts w:eastAsiaTheme="minorHAnsi"/>
          <w:sz w:val="21"/>
          <w:szCs w:val="21"/>
          <w:lang w:eastAsia="en-US"/>
        </w:rPr>
      </w:pPr>
    </w:p>
    <w:p w:rsidR="009D1898" w:rsidRPr="009D1898" w:rsidRDefault="009D1898" w:rsidP="009D1898">
      <w:pPr>
        <w:spacing w:after="0"/>
        <w:rPr>
          <w:rFonts w:eastAsiaTheme="minorHAnsi"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>Эскиз генерального плана жилой застройки в Солнечногорском</w:t>
      </w:r>
      <w:r w:rsidRPr="009D1898">
        <w:rPr>
          <w:rFonts w:eastAsiaTheme="minorHAnsi"/>
          <w:b/>
          <w:sz w:val="21"/>
          <w:szCs w:val="21"/>
          <w:lang w:eastAsia="en-US"/>
        </w:rPr>
        <w:t xml:space="preserve"> район</w:t>
      </w:r>
      <w:r>
        <w:rPr>
          <w:rFonts w:eastAsiaTheme="minorHAnsi"/>
          <w:b/>
          <w:sz w:val="21"/>
          <w:szCs w:val="21"/>
          <w:lang w:eastAsia="en-US"/>
        </w:rPr>
        <w:t>е (</w:t>
      </w:r>
      <w:proofErr w:type="gramStart"/>
      <w:r>
        <w:rPr>
          <w:rFonts w:eastAsiaTheme="minorHAnsi"/>
          <w:b/>
          <w:sz w:val="21"/>
          <w:szCs w:val="21"/>
          <w:lang w:eastAsia="en-US"/>
        </w:rPr>
        <w:t>Московская</w:t>
      </w:r>
      <w:proofErr w:type="gramEnd"/>
      <w:r>
        <w:rPr>
          <w:rFonts w:eastAsiaTheme="minorHAnsi"/>
          <w:b/>
          <w:sz w:val="21"/>
          <w:szCs w:val="21"/>
          <w:lang w:eastAsia="en-US"/>
        </w:rPr>
        <w:t xml:space="preserve"> обл.)</w:t>
      </w:r>
      <w:r w:rsidRPr="009D1898">
        <w:rPr>
          <w:rFonts w:eastAsiaTheme="minorHAnsi"/>
          <w:b/>
          <w:sz w:val="21"/>
          <w:szCs w:val="21"/>
          <w:lang w:eastAsia="en-US"/>
        </w:rPr>
        <w:t>.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9D1898">
        <w:rPr>
          <w:rFonts w:eastAsiaTheme="minorHAnsi"/>
          <w:sz w:val="21"/>
          <w:szCs w:val="21"/>
          <w:lang w:eastAsia="en-US"/>
        </w:rPr>
        <w:t>Проектом</w:t>
      </w:r>
      <w:r>
        <w:rPr>
          <w:rFonts w:eastAsiaTheme="minorHAnsi"/>
          <w:sz w:val="21"/>
          <w:szCs w:val="21"/>
          <w:lang w:eastAsia="en-US"/>
        </w:rPr>
        <w:t xml:space="preserve"> предусмотрено</w:t>
      </w:r>
      <w:r w:rsidRPr="009D1898">
        <w:rPr>
          <w:rFonts w:eastAsiaTheme="minorHAnsi"/>
          <w:sz w:val="21"/>
          <w:szCs w:val="21"/>
          <w:lang w:eastAsia="en-US"/>
        </w:rPr>
        <w:t xml:space="preserve"> размещения жилой застройки на </w:t>
      </w:r>
      <w:proofErr w:type="gramStart"/>
      <w:r w:rsidRPr="009D1898">
        <w:rPr>
          <w:rFonts w:eastAsiaTheme="minorHAnsi"/>
          <w:sz w:val="21"/>
          <w:szCs w:val="21"/>
          <w:lang w:eastAsia="en-US"/>
        </w:rPr>
        <w:t>участке</w:t>
      </w:r>
      <w:proofErr w:type="gramEnd"/>
      <w:r w:rsidRPr="009D1898">
        <w:rPr>
          <w:rFonts w:eastAsiaTheme="minorHAnsi"/>
          <w:sz w:val="21"/>
          <w:szCs w:val="21"/>
          <w:lang w:eastAsia="en-US"/>
        </w:rPr>
        <w:t xml:space="preserve"> общей площадью 5,7 га. К размещению предусмотрены жилые дома на 2 семьи (дуплексы). </w:t>
      </w:r>
    </w:p>
    <w:p w:rsidR="009D1898" w:rsidRPr="009D1898" w:rsidRDefault="009D1898" w:rsidP="009D1898">
      <w:pPr>
        <w:spacing w:before="240" w:after="0"/>
        <w:rPr>
          <w:rFonts w:eastAsiaTheme="minorHAnsi"/>
          <w:sz w:val="21"/>
          <w:szCs w:val="21"/>
          <w:lang w:eastAsia="en-US"/>
        </w:rPr>
      </w:pPr>
      <w:r w:rsidRPr="009D1898">
        <w:rPr>
          <w:rFonts w:eastAsiaTheme="minorHAnsi"/>
          <w:b/>
          <w:sz w:val="21"/>
          <w:szCs w:val="21"/>
          <w:lang w:eastAsia="en-US"/>
        </w:rPr>
        <w:t>Эскиз генерального плана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9D1898">
        <w:rPr>
          <w:rFonts w:eastAsiaTheme="minorHAnsi"/>
          <w:b/>
          <w:sz w:val="21"/>
          <w:szCs w:val="21"/>
          <w:lang w:eastAsia="en-US"/>
        </w:rPr>
        <w:t xml:space="preserve">жилой застройки </w:t>
      </w:r>
      <w:r>
        <w:rPr>
          <w:rFonts w:eastAsiaTheme="minorHAnsi"/>
          <w:b/>
          <w:sz w:val="21"/>
          <w:szCs w:val="21"/>
          <w:lang w:eastAsia="en-US"/>
        </w:rPr>
        <w:t xml:space="preserve">в Подольском районе </w:t>
      </w:r>
      <w:r w:rsidRPr="009D1898">
        <w:rPr>
          <w:rFonts w:eastAsiaTheme="minorHAnsi"/>
          <w:b/>
          <w:sz w:val="21"/>
          <w:szCs w:val="21"/>
          <w:lang w:eastAsia="en-US"/>
        </w:rPr>
        <w:t xml:space="preserve"> </w:t>
      </w:r>
      <w:r>
        <w:rPr>
          <w:rFonts w:eastAsiaTheme="minorHAnsi"/>
          <w:b/>
          <w:sz w:val="21"/>
          <w:szCs w:val="21"/>
          <w:lang w:eastAsia="en-US"/>
        </w:rPr>
        <w:t>(</w:t>
      </w:r>
      <w:r>
        <w:rPr>
          <w:rFonts w:eastAsiaTheme="minorHAnsi"/>
          <w:sz w:val="21"/>
          <w:szCs w:val="21"/>
          <w:lang w:eastAsia="en-US"/>
        </w:rPr>
        <w:t>Московская обл.) Р</w:t>
      </w:r>
      <w:r w:rsidRPr="009D1898">
        <w:rPr>
          <w:rFonts w:eastAsiaTheme="minorHAnsi"/>
          <w:sz w:val="21"/>
          <w:szCs w:val="21"/>
          <w:lang w:eastAsia="en-US"/>
        </w:rPr>
        <w:t>азработано 3 варианта эскиза генерального плана для жилой застройки на территории 42,47 га.</w:t>
      </w:r>
      <w:r>
        <w:rPr>
          <w:rFonts w:eastAsiaTheme="minorHAnsi"/>
          <w:sz w:val="21"/>
          <w:szCs w:val="21"/>
          <w:lang w:eastAsia="en-US"/>
        </w:rPr>
        <w:t xml:space="preserve"> </w:t>
      </w:r>
      <w:r w:rsidRPr="009D1898">
        <w:rPr>
          <w:rFonts w:eastAsiaTheme="minorHAnsi"/>
          <w:sz w:val="21"/>
          <w:szCs w:val="21"/>
          <w:lang w:eastAsia="en-US"/>
        </w:rPr>
        <w:t>Проектом предлагается размещение быстровозводимых жилых домов площадью от 80 до 120 м</w:t>
      </w:r>
      <w:proofErr w:type="gramStart"/>
      <w:r w:rsidRPr="009D1898">
        <w:rPr>
          <w:rFonts w:eastAsiaTheme="minorHAnsi"/>
          <w:sz w:val="21"/>
          <w:szCs w:val="21"/>
          <w:lang w:eastAsia="en-US"/>
        </w:rPr>
        <w:t>2</w:t>
      </w:r>
      <w:proofErr w:type="gramEnd"/>
      <w:r w:rsidRPr="009D1898">
        <w:rPr>
          <w:rFonts w:eastAsiaTheme="minorHAnsi"/>
          <w:sz w:val="21"/>
          <w:szCs w:val="21"/>
          <w:lang w:eastAsia="en-US"/>
        </w:rPr>
        <w:t xml:space="preserve"> на земельных участках от 400 до 600 м2. В составе общей инфраструктуры включены площадки различного назначения, административно-бытовые и инженерные объекты. </w:t>
      </w:r>
    </w:p>
    <w:p w:rsidR="009D1898" w:rsidRPr="009D1898" w:rsidRDefault="009D1898" w:rsidP="009D1898">
      <w:pPr>
        <w:spacing w:before="240" w:after="0"/>
        <w:rPr>
          <w:rFonts w:eastAsiaTheme="minorHAnsi"/>
          <w:b/>
          <w:sz w:val="21"/>
          <w:szCs w:val="21"/>
          <w:lang w:eastAsia="en-US"/>
        </w:rPr>
      </w:pPr>
      <w:r w:rsidRPr="009D1898">
        <w:rPr>
          <w:rFonts w:eastAsiaTheme="minorHAnsi"/>
          <w:b/>
          <w:sz w:val="21"/>
          <w:szCs w:val="21"/>
          <w:lang w:eastAsia="en-US"/>
        </w:rPr>
        <w:lastRenderedPageBreak/>
        <w:t>Экспресс-оценка вокзалов Российской железной дорог</w:t>
      </w:r>
      <w:r>
        <w:rPr>
          <w:rFonts w:eastAsiaTheme="minorHAnsi"/>
          <w:b/>
          <w:sz w:val="21"/>
          <w:szCs w:val="21"/>
          <w:lang w:eastAsia="en-US"/>
        </w:rPr>
        <w:t xml:space="preserve">и. </w:t>
      </w:r>
      <w:r w:rsidRPr="009D1898">
        <w:rPr>
          <w:rFonts w:eastAsiaTheme="minorHAnsi"/>
          <w:sz w:val="21"/>
          <w:szCs w:val="21"/>
          <w:lang w:eastAsia="en-US"/>
        </w:rPr>
        <w:t xml:space="preserve">Анализ объектов включил оценку конструкций, инженерных систем и </w:t>
      </w:r>
      <w:proofErr w:type="spellStart"/>
      <w:r w:rsidRPr="009D1898">
        <w:rPr>
          <w:rFonts w:eastAsiaTheme="minorHAnsi"/>
          <w:sz w:val="21"/>
          <w:szCs w:val="21"/>
          <w:lang w:eastAsia="en-US"/>
        </w:rPr>
        <w:t>энергоаудит</w:t>
      </w:r>
      <w:proofErr w:type="spellEnd"/>
      <w:r w:rsidRPr="009D1898">
        <w:rPr>
          <w:rFonts w:eastAsiaTheme="minorHAnsi"/>
          <w:sz w:val="21"/>
          <w:szCs w:val="21"/>
          <w:lang w:eastAsia="en-US"/>
        </w:rPr>
        <w:t xml:space="preserve"> зданий.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9D1898">
        <w:rPr>
          <w:rFonts w:eastAsiaTheme="minorHAnsi"/>
          <w:sz w:val="21"/>
          <w:szCs w:val="21"/>
          <w:lang w:eastAsia="en-US"/>
        </w:rPr>
        <w:t xml:space="preserve">На основании данных </w:t>
      </w:r>
      <w:r>
        <w:rPr>
          <w:rFonts w:eastAsiaTheme="minorHAnsi"/>
          <w:sz w:val="21"/>
          <w:szCs w:val="21"/>
          <w:lang w:eastAsia="en-US"/>
        </w:rPr>
        <w:t>были подготовлены</w:t>
      </w:r>
      <w:r w:rsidRPr="009D1898">
        <w:rPr>
          <w:rFonts w:eastAsiaTheme="minorHAnsi"/>
          <w:sz w:val="21"/>
          <w:szCs w:val="21"/>
          <w:lang w:eastAsia="en-US"/>
        </w:rPr>
        <w:t xml:space="preserve"> предложения по модернизации вокзалов. Была проведена экспресс-оценка железнодорожных вокзалов в Челябинске, Екатеринбурге, Самаре, Рузаевке, Пензе и Владимире.</w:t>
      </w:r>
    </w:p>
    <w:p w:rsidR="00860CB1" w:rsidRPr="00860CB1" w:rsidRDefault="00860CB1" w:rsidP="00860CB1">
      <w:pPr>
        <w:pStyle w:val="a3"/>
        <w:spacing w:line="276" w:lineRule="auto"/>
        <w:ind w:left="0"/>
      </w:pPr>
    </w:p>
    <w:p w:rsidR="003C7E1E" w:rsidRPr="00FC36A1" w:rsidRDefault="009D1898" w:rsidP="009D1898">
      <w:pPr>
        <w:pStyle w:val="a3"/>
        <w:numPr>
          <w:ilvl w:val="0"/>
          <w:numId w:val="1"/>
        </w:numPr>
        <w:ind w:left="426" w:firstLine="0"/>
        <w:rPr>
          <w:b/>
          <w:color w:val="365F91" w:themeColor="accent1" w:themeShade="BF"/>
        </w:rPr>
      </w:pPr>
      <w:r w:rsidRPr="00FC36A1">
        <w:rPr>
          <w:b/>
          <w:color w:val="365F91" w:themeColor="accent1" w:themeShade="BF"/>
        </w:rPr>
        <w:t>ИНЖЕНЕРНАЯ ПОДГОТОВКА ТЕРРИТОРИИ:</w:t>
      </w:r>
    </w:p>
    <w:p w:rsidR="009D1898" w:rsidRDefault="009D1898" w:rsidP="003C7E1E">
      <w:pPr>
        <w:pStyle w:val="a3"/>
        <w:ind w:left="1353"/>
      </w:pPr>
    </w:p>
    <w:p w:rsidR="009D1898" w:rsidRPr="009D1898" w:rsidRDefault="009D1898" w:rsidP="009D1898">
      <w:pPr>
        <w:spacing w:after="0"/>
        <w:rPr>
          <w:rFonts w:eastAsiaTheme="minorHAnsi"/>
          <w:sz w:val="21"/>
          <w:szCs w:val="21"/>
          <w:lang w:eastAsia="en-US"/>
        </w:rPr>
      </w:pPr>
      <w:r w:rsidRPr="009D1898">
        <w:rPr>
          <w:rFonts w:eastAsiaTheme="minorHAnsi"/>
          <w:b/>
          <w:sz w:val="21"/>
          <w:szCs w:val="21"/>
          <w:lang w:eastAsia="en-US"/>
        </w:rPr>
        <w:t>Инженерная подготовка района "Медный"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9D1898">
        <w:rPr>
          <w:rFonts w:eastAsiaTheme="minorHAnsi"/>
          <w:b/>
          <w:sz w:val="21"/>
          <w:szCs w:val="21"/>
          <w:lang w:eastAsia="en-US"/>
        </w:rPr>
        <w:t>в г. Екатеринбурге.</w:t>
      </w:r>
      <w:r>
        <w:rPr>
          <w:rFonts w:eastAsiaTheme="minorHAnsi"/>
          <w:sz w:val="21"/>
          <w:szCs w:val="21"/>
          <w:lang w:eastAsia="en-US"/>
        </w:rPr>
        <w:t xml:space="preserve"> П</w:t>
      </w:r>
      <w:r w:rsidRPr="009D1898">
        <w:rPr>
          <w:rFonts w:eastAsiaTheme="minorHAnsi"/>
          <w:sz w:val="21"/>
          <w:szCs w:val="21"/>
          <w:lang w:eastAsia="en-US"/>
        </w:rPr>
        <w:t>ерспективная площадь застройки – 5 200 000 м</w:t>
      </w:r>
      <w:proofErr w:type="gramStart"/>
      <w:r w:rsidRPr="009D1898">
        <w:rPr>
          <w:rFonts w:eastAsiaTheme="minorHAnsi"/>
          <w:sz w:val="21"/>
          <w:szCs w:val="21"/>
          <w:lang w:eastAsia="en-US"/>
        </w:rPr>
        <w:t>2</w:t>
      </w:r>
      <w:proofErr w:type="gramEnd"/>
      <w:r w:rsidRPr="009D1898">
        <w:rPr>
          <w:rFonts w:eastAsiaTheme="minorHAnsi"/>
          <w:sz w:val="21"/>
          <w:szCs w:val="21"/>
          <w:lang w:eastAsia="en-US"/>
        </w:rPr>
        <w:t>, планируемый объём ввода жилья – 467 300 м2, планируемая численнос</w:t>
      </w:r>
      <w:r>
        <w:rPr>
          <w:rFonts w:eastAsiaTheme="minorHAnsi"/>
          <w:sz w:val="21"/>
          <w:szCs w:val="21"/>
          <w:lang w:eastAsia="en-US"/>
        </w:rPr>
        <w:t xml:space="preserve">ть населения – 10 800 человек. </w:t>
      </w:r>
      <w:r w:rsidRPr="009D1898">
        <w:rPr>
          <w:rFonts w:eastAsiaTheme="minorHAnsi"/>
          <w:sz w:val="21"/>
          <w:szCs w:val="21"/>
          <w:lang w:eastAsia="en-US"/>
        </w:rPr>
        <w:t xml:space="preserve">В рамках договора с Администрацией </w:t>
      </w:r>
      <w:r>
        <w:rPr>
          <w:rFonts w:eastAsiaTheme="minorHAnsi"/>
          <w:sz w:val="21"/>
          <w:szCs w:val="21"/>
          <w:lang w:eastAsia="en-US"/>
        </w:rPr>
        <w:t>г</w:t>
      </w:r>
      <w:proofErr w:type="gramStart"/>
      <w:r>
        <w:rPr>
          <w:rFonts w:eastAsiaTheme="minorHAnsi"/>
          <w:sz w:val="21"/>
          <w:szCs w:val="21"/>
          <w:lang w:eastAsia="en-US"/>
        </w:rPr>
        <w:t>.</w:t>
      </w:r>
      <w:r w:rsidRPr="009D1898">
        <w:rPr>
          <w:rFonts w:eastAsiaTheme="minorHAnsi"/>
          <w:sz w:val="21"/>
          <w:szCs w:val="21"/>
          <w:lang w:eastAsia="en-US"/>
        </w:rPr>
        <w:t>Е</w:t>
      </w:r>
      <w:proofErr w:type="gramEnd"/>
      <w:r w:rsidRPr="009D1898">
        <w:rPr>
          <w:rFonts w:eastAsiaTheme="minorHAnsi"/>
          <w:sz w:val="21"/>
          <w:szCs w:val="21"/>
          <w:lang w:eastAsia="en-US"/>
        </w:rPr>
        <w:t>катеринбурга выполнена проектная документация инженерной подготовки территории 5 квартала района Медный, а также строительства необходимых головных инженерных сооружений для об</w:t>
      </w:r>
      <w:r w:rsidR="003211C1">
        <w:rPr>
          <w:rFonts w:eastAsiaTheme="minorHAnsi"/>
          <w:sz w:val="21"/>
          <w:szCs w:val="21"/>
          <w:lang w:eastAsia="en-US"/>
        </w:rPr>
        <w:t>служивания всего посёлка.</w:t>
      </w:r>
      <w:r w:rsidRPr="009D1898">
        <w:rPr>
          <w:rFonts w:eastAsiaTheme="minorHAnsi"/>
          <w:sz w:val="21"/>
          <w:szCs w:val="21"/>
          <w:lang w:eastAsia="en-US"/>
        </w:rPr>
        <w:t xml:space="preserve"> Проект освоения территории был успешно согласован с надзорными органами.</w:t>
      </w:r>
    </w:p>
    <w:p w:rsidR="003211C1" w:rsidRDefault="003211C1" w:rsidP="003C7E1E">
      <w:pPr>
        <w:pStyle w:val="a3"/>
        <w:ind w:left="1353"/>
      </w:pPr>
    </w:p>
    <w:p w:rsidR="003211C1" w:rsidRPr="003211C1" w:rsidRDefault="003211C1" w:rsidP="003211C1">
      <w:pPr>
        <w:spacing w:after="0"/>
        <w:jc w:val="both"/>
        <w:rPr>
          <w:rFonts w:eastAsiaTheme="minorHAnsi"/>
          <w:b/>
          <w:sz w:val="21"/>
          <w:szCs w:val="21"/>
          <w:lang w:eastAsia="en-US"/>
        </w:rPr>
      </w:pPr>
      <w:r w:rsidRPr="003211C1">
        <w:rPr>
          <w:rFonts w:eastAsiaTheme="minorHAnsi"/>
          <w:b/>
          <w:sz w:val="21"/>
          <w:szCs w:val="21"/>
          <w:lang w:eastAsia="en-US"/>
        </w:rPr>
        <w:t>Городские канализационные очистные сооружения (КОС)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3211C1">
        <w:rPr>
          <w:rFonts w:eastAsiaTheme="minorHAnsi"/>
          <w:b/>
          <w:sz w:val="21"/>
          <w:szCs w:val="21"/>
          <w:lang w:eastAsia="en-US"/>
        </w:rPr>
        <w:t>г. Ялуторовск</w:t>
      </w:r>
      <w:r>
        <w:rPr>
          <w:rFonts w:eastAsiaTheme="minorHAnsi"/>
          <w:b/>
          <w:sz w:val="21"/>
          <w:szCs w:val="21"/>
          <w:lang w:eastAsia="en-US"/>
        </w:rPr>
        <w:t xml:space="preserve">.  </w:t>
      </w:r>
      <w:r w:rsidRPr="003211C1">
        <w:rPr>
          <w:rFonts w:eastAsiaTheme="minorHAnsi"/>
          <w:sz w:val="21"/>
          <w:szCs w:val="21"/>
          <w:lang w:eastAsia="en-US"/>
        </w:rPr>
        <w:t>В новом проекте используется технология, которая позволяет увеличить производительность до 1200 м</w:t>
      </w:r>
      <w:proofErr w:type="gramStart"/>
      <w:r w:rsidRPr="003211C1">
        <w:rPr>
          <w:rFonts w:eastAsiaTheme="minorHAnsi"/>
          <w:sz w:val="21"/>
          <w:szCs w:val="21"/>
          <w:lang w:eastAsia="en-US"/>
        </w:rPr>
        <w:t>2</w:t>
      </w:r>
      <w:proofErr w:type="gramEnd"/>
      <w:r w:rsidRPr="003211C1">
        <w:rPr>
          <w:rFonts w:eastAsiaTheme="minorHAnsi"/>
          <w:sz w:val="21"/>
          <w:szCs w:val="21"/>
          <w:lang w:eastAsia="en-US"/>
        </w:rPr>
        <w:t>/сут., уменьшить инвестиционные затраты по строительству и по дальнейшей эксплуатации, в несколько раз сократить территорию застройки КОС.</w:t>
      </w:r>
    </w:p>
    <w:p w:rsidR="003211C1" w:rsidRDefault="003211C1" w:rsidP="003211C1">
      <w:pPr>
        <w:spacing w:after="0"/>
        <w:jc w:val="both"/>
        <w:rPr>
          <w:rFonts w:eastAsiaTheme="minorHAnsi"/>
          <w:b/>
          <w:sz w:val="21"/>
          <w:szCs w:val="21"/>
          <w:lang w:eastAsia="en-US"/>
        </w:rPr>
      </w:pPr>
    </w:p>
    <w:p w:rsidR="003211C1" w:rsidRDefault="003211C1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  <w:r w:rsidRPr="003211C1">
        <w:rPr>
          <w:rFonts w:eastAsiaTheme="minorHAnsi"/>
          <w:b/>
          <w:sz w:val="21"/>
          <w:szCs w:val="21"/>
          <w:lang w:eastAsia="en-US"/>
        </w:rPr>
        <w:t>Центр развития шахмат</w:t>
      </w:r>
      <w:r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3211C1">
        <w:rPr>
          <w:rFonts w:eastAsiaTheme="minorHAnsi"/>
          <w:b/>
          <w:sz w:val="21"/>
          <w:szCs w:val="21"/>
          <w:lang w:eastAsia="en-US"/>
        </w:rPr>
        <w:t>"Уральская шахматная академия"</w:t>
      </w:r>
      <w:r>
        <w:rPr>
          <w:rFonts w:eastAsiaTheme="minorHAnsi"/>
          <w:b/>
          <w:sz w:val="21"/>
          <w:szCs w:val="21"/>
          <w:lang w:eastAsia="en-US"/>
        </w:rPr>
        <w:t xml:space="preserve"> г. Екатеринбург. </w:t>
      </w:r>
      <w:r w:rsidRPr="003211C1">
        <w:rPr>
          <w:rFonts w:eastAsiaTheme="minorHAnsi"/>
          <w:sz w:val="21"/>
          <w:szCs w:val="21"/>
          <w:lang w:eastAsia="en-US"/>
        </w:rPr>
        <w:t>Разработаны внешнее инженерное обеспечение для стадии проектной документации, а так же рабочая документация для строительства объекта</w:t>
      </w:r>
      <w:r>
        <w:rPr>
          <w:rFonts w:eastAsiaTheme="minorHAnsi"/>
          <w:sz w:val="21"/>
          <w:szCs w:val="21"/>
          <w:lang w:eastAsia="en-US"/>
        </w:rPr>
        <w:t>.</w:t>
      </w:r>
      <w:r w:rsidRPr="003211C1">
        <w:rPr>
          <w:rFonts w:eastAsiaTheme="minorHAnsi"/>
          <w:sz w:val="21"/>
          <w:szCs w:val="21"/>
          <w:lang w:eastAsia="en-US"/>
        </w:rPr>
        <w:t xml:space="preserve"> </w:t>
      </w:r>
      <w:r>
        <w:rPr>
          <w:rFonts w:eastAsiaTheme="minorHAnsi"/>
          <w:sz w:val="21"/>
          <w:szCs w:val="21"/>
          <w:lang w:eastAsia="en-US"/>
        </w:rPr>
        <w:t>Ш</w:t>
      </w:r>
      <w:r w:rsidRPr="003211C1">
        <w:rPr>
          <w:rFonts w:eastAsiaTheme="minorHAnsi"/>
          <w:sz w:val="21"/>
          <w:szCs w:val="21"/>
          <w:lang w:eastAsia="en-US"/>
        </w:rPr>
        <w:t>ахматная академия будет представлять собой комплекс, в который войдут: школа, рассчитанная на 200 человек, гостиница на 70 мест, библиотеки, кафе, а также турнирный, бильярдный, тренажерный и компьютерный залы.</w:t>
      </w:r>
    </w:p>
    <w:p w:rsidR="00FC36A1" w:rsidRDefault="00FC36A1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</w:p>
    <w:p w:rsidR="00FC36A1" w:rsidRDefault="00FC36A1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</w:p>
    <w:p w:rsidR="00FC36A1" w:rsidRDefault="00FC36A1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</w:p>
    <w:p w:rsidR="00C36507" w:rsidRDefault="00C36507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</w:p>
    <w:p w:rsidR="00C36507" w:rsidRDefault="00C36507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</w:p>
    <w:p w:rsidR="00C36507" w:rsidRDefault="00C36507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</w:p>
    <w:p w:rsidR="00C36507" w:rsidRDefault="00C36507" w:rsidP="003211C1">
      <w:pPr>
        <w:spacing w:after="0"/>
        <w:jc w:val="both"/>
        <w:rPr>
          <w:rFonts w:eastAsiaTheme="minorHAnsi"/>
          <w:sz w:val="21"/>
          <w:szCs w:val="21"/>
          <w:lang w:eastAsia="en-US"/>
        </w:rPr>
      </w:pPr>
    </w:p>
    <w:p w:rsidR="00FC36A1" w:rsidRPr="00FC36A1" w:rsidRDefault="00FC36A1" w:rsidP="00FC36A1">
      <w:pPr>
        <w:jc w:val="both"/>
        <w:rPr>
          <w:rFonts w:eastAsiaTheme="minorHAnsi"/>
          <w:sz w:val="20"/>
          <w:szCs w:val="20"/>
        </w:rPr>
      </w:pPr>
      <w:r w:rsidRPr="00FC36A1">
        <w:rPr>
          <w:rFonts w:eastAsiaTheme="minorHAnsi"/>
          <w:sz w:val="20"/>
          <w:szCs w:val="20"/>
          <w:lang w:eastAsia="en-US"/>
        </w:rPr>
        <w:t>*</w:t>
      </w:r>
      <w:r w:rsidRPr="00FC36A1">
        <w:rPr>
          <w:rFonts w:eastAsiaTheme="minorHAnsi"/>
          <w:sz w:val="20"/>
          <w:szCs w:val="20"/>
        </w:rPr>
        <w:t xml:space="preserve"> Данный список постоянно пополняется новыми </w:t>
      </w:r>
      <w:r w:rsidR="00E237DC">
        <w:rPr>
          <w:rFonts w:eastAsiaTheme="minorHAnsi"/>
          <w:sz w:val="20"/>
          <w:szCs w:val="20"/>
        </w:rPr>
        <w:t>проектами</w:t>
      </w:r>
    </w:p>
    <w:p w:rsidR="003211C1" w:rsidRDefault="003211C1" w:rsidP="003C7E1E">
      <w:pPr>
        <w:pStyle w:val="a3"/>
        <w:ind w:left="1353"/>
      </w:pPr>
    </w:p>
    <w:sectPr w:rsidR="003211C1" w:rsidSect="007A71E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F Agora Sans Pro Medium">
    <w:altName w:val="Arial Unicode MS"/>
    <w:panose1 w:val="00000000000000000000"/>
    <w:charset w:val="CC"/>
    <w:family w:val="swiss"/>
    <w:notTrueType/>
    <w:pitch w:val="default"/>
    <w:sig w:usb0="00000000" w:usb1="08070000" w:usb2="00000010" w:usb3="00000000" w:csb0="0002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0DA2"/>
    <w:multiLevelType w:val="hybridMultilevel"/>
    <w:tmpl w:val="697E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E5B3B"/>
    <w:multiLevelType w:val="hybridMultilevel"/>
    <w:tmpl w:val="5784D128"/>
    <w:lvl w:ilvl="0" w:tplc="20CEDC0C">
      <w:start w:val="1"/>
      <w:numFmt w:val="bullet"/>
      <w:lvlText w:val=""/>
      <w:lvlJc w:val="left"/>
      <w:pPr>
        <w:tabs>
          <w:tab w:val="num" w:pos="4803"/>
        </w:tabs>
        <w:ind w:left="48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F60D6"/>
    <w:multiLevelType w:val="hybridMultilevel"/>
    <w:tmpl w:val="CD5CF2CE"/>
    <w:lvl w:ilvl="0" w:tplc="2CFC3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E1E"/>
    <w:rsid w:val="00064F2E"/>
    <w:rsid w:val="000A38DD"/>
    <w:rsid w:val="00146A06"/>
    <w:rsid w:val="001962B4"/>
    <w:rsid w:val="001E35B8"/>
    <w:rsid w:val="00222452"/>
    <w:rsid w:val="00242E69"/>
    <w:rsid w:val="0024688F"/>
    <w:rsid w:val="002B1AEF"/>
    <w:rsid w:val="00314187"/>
    <w:rsid w:val="003211C1"/>
    <w:rsid w:val="00376F44"/>
    <w:rsid w:val="003C7E1E"/>
    <w:rsid w:val="003F50E8"/>
    <w:rsid w:val="004629FB"/>
    <w:rsid w:val="00494B1D"/>
    <w:rsid w:val="00606246"/>
    <w:rsid w:val="00650238"/>
    <w:rsid w:val="007666B0"/>
    <w:rsid w:val="007A71E3"/>
    <w:rsid w:val="00860CB1"/>
    <w:rsid w:val="009D1898"/>
    <w:rsid w:val="00A31630"/>
    <w:rsid w:val="00A72CB7"/>
    <w:rsid w:val="00AE108F"/>
    <w:rsid w:val="00C36507"/>
    <w:rsid w:val="00CC787C"/>
    <w:rsid w:val="00E237DC"/>
    <w:rsid w:val="00E42B3C"/>
    <w:rsid w:val="00E45B86"/>
    <w:rsid w:val="00F55A29"/>
    <w:rsid w:val="00F6190D"/>
    <w:rsid w:val="00FC36A1"/>
    <w:rsid w:val="00FE3DC8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1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Pa4">
    <w:name w:val="Pa4"/>
    <w:basedOn w:val="a"/>
    <w:next w:val="a"/>
    <w:uiPriority w:val="99"/>
    <w:rsid w:val="00494B1D"/>
    <w:pPr>
      <w:autoSpaceDE w:val="0"/>
      <w:autoSpaceDN w:val="0"/>
      <w:adjustRightInd w:val="0"/>
      <w:spacing w:after="0" w:line="171" w:lineRule="atLeast"/>
    </w:pPr>
    <w:rPr>
      <w:rFonts w:ascii="PF Agora Sans Pro Medium" w:eastAsiaTheme="minorHAnsi" w:hAnsi="PF Agora Sans Pro Medium"/>
      <w:sz w:val="24"/>
      <w:szCs w:val="24"/>
      <w:lang w:eastAsia="en-US"/>
    </w:rPr>
  </w:style>
  <w:style w:type="paragraph" w:styleId="a4">
    <w:name w:val="header"/>
    <w:basedOn w:val="a"/>
    <w:link w:val="a5"/>
    <w:rsid w:val="00860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60CB1"/>
    <w:rPr>
      <w:rFonts w:ascii="Times New Roman" w:eastAsia="Calibri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1962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1962B4"/>
    <w:rPr>
      <w:rFonts w:ascii="Consolas" w:eastAsiaTheme="minorHAnsi" w:hAnsi="Consolas"/>
      <w:sz w:val="21"/>
      <w:szCs w:val="21"/>
      <w:lang w:eastAsia="en-US"/>
    </w:rPr>
  </w:style>
  <w:style w:type="paragraph" w:customStyle="1" w:styleId="a8">
    <w:name w:val="Содержимое таблицы"/>
    <w:basedOn w:val="a"/>
    <w:rsid w:val="007A71E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ndm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bogolubova</dc:creator>
  <cp:keywords/>
  <dc:description/>
  <cp:lastModifiedBy>Vahrusheva</cp:lastModifiedBy>
  <cp:revision>11</cp:revision>
  <cp:lastPrinted>2012-10-30T09:12:00Z</cp:lastPrinted>
  <dcterms:created xsi:type="dcterms:W3CDTF">2012-11-01T11:51:00Z</dcterms:created>
  <dcterms:modified xsi:type="dcterms:W3CDTF">2013-03-26T08:31:00Z</dcterms:modified>
</cp:coreProperties>
</file>